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7"/>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a7"/>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a7"/>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a7"/>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1 Question</w:t>
      </w:r>
      <w:r w:rsidR="00BC57C9">
        <w:rPr>
          <w:rFonts w:eastAsia="Malgun Gothic"/>
          <w:b/>
          <w:bCs/>
          <w:u w:val="single"/>
          <w:lang w:eastAsia="ko-KR"/>
        </w:rPr>
        <w:t>”</w:t>
      </w:r>
      <w:r w:rsidR="00D84E39">
        <w:rPr>
          <w:rFonts w:eastAsia="Malgun Gothic"/>
          <w:b/>
          <w:bCs/>
          <w:u w:val="single"/>
          <w:lang w:eastAsia="ko-KR"/>
        </w:rPr>
        <w:t>s</w:t>
      </w:r>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6"/>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34675F"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34675F"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6"/>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7"/>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7"/>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7"/>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7"/>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7"/>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7"/>
        <w:numPr>
          <w:ilvl w:val="1"/>
          <w:numId w:val="4"/>
        </w:numPr>
        <w:rPr>
          <w:i/>
          <w:iCs/>
        </w:rPr>
      </w:pPr>
      <w:r>
        <w:rPr>
          <w:i/>
          <w:iCs/>
        </w:rPr>
        <w:t>Other options are not precluded.</w:t>
      </w:r>
    </w:p>
    <w:tbl>
      <w:tblPr>
        <w:tblStyle w:val="a6"/>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6"/>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w:t>
            </w:r>
            <w:r w:rsidRPr="00DC2034">
              <w:rPr>
                <w:lang w:eastAsia="ja-JP"/>
              </w:rPr>
              <w:lastRenderedPageBreak/>
              <w:t>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unfortunately we don’t have it. </w:t>
            </w:r>
            <w:r w:rsidR="00D82155">
              <w:rPr>
                <w:rFonts w:eastAsia="Malgun Gothic"/>
                <w:bCs/>
                <w:lang w:eastAsia="ko-KR"/>
              </w:rPr>
              <w:t>If there is a strong needs,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hint="eastAsia"/>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hint="eastAsia"/>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 xml:space="preserve">the formula is used to calculate peak data rate, which </w:t>
            </w:r>
            <w:r w:rsidRPr="0043566D">
              <w:rPr>
                <w:rFonts w:eastAsia="Malgun Gothic"/>
                <w:lang w:eastAsia="ko-KR"/>
              </w:rPr>
              <w:t>is not always needed</w:t>
            </w:r>
            <w:r w:rsidR="003C0685">
              <w:rPr>
                <w:rFonts w:eastAsia="Malgun Gothic"/>
                <w:lang w:eastAsia="ko-KR"/>
              </w:rPr>
              <w:t xml:space="preserve"> for data transmission</w:t>
            </w:r>
            <w:r w:rsidRPr="0043566D">
              <w:rPr>
                <w:rFonts w:eastAsia="Malgun Gothic"/>
                <w:lang w:eastAsia="ko-KR"/>
              </w:rPr>
              <w:t>. gNB can scheduling small</w:t>
            </w:r>
            <w:r w:rsidR="003C0685">
              <w:rPr>
                <w:rFonts w:eastAsia="Malgun Gothic"/>
                <w:lang w:eastAsia="ko-KR"/>
              </w:rPr>
              <w:t xml:space="preserve"> amount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w:t>
            </w:r>
            <w:bookmarkStart w:id="4" w:name="_GoBack"/>
            <w:bookmarkEnd w:id="4"/>
            <w:r w:rsidRPr="0043566D">
              <w:rPr>
                <w:rFonts w:eastAsia="Malgun Gothic"/>
                <w:lang w:eastAsia="ko-KR"/>
              </w:rPr>
              <w:t>ment. If RAN2 agrees to introduce it, option 3 can be considered.</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7"/>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7"/>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523E42A" w:rsidR="006A00B9" w:rsidRDefault="006A00B9" w:rsidP="006A00B9">
            <w:pPr>
              <w:jc w:val="left"/>
              <w:rPr>
                <w:rFonts w:eastAsiaTheme="minorEastAsia"/>
              </w:rPr>
            </w:pPr>
          </w:p>
        </w:tc>
        <w:tc>
          <w:tcPr>
            <w:tcW w:w="6971" w:type="dxa"/>
            <w:shd w:val="clear" w:color="auto" w:fill="auto"/>
          </w:tcPr>
          <w:p w14:paraId="1B54314F" w14:textId="77777777" w:rsidR="006A00B9" w:rsidRPr="001D46EE" w:rsidRDefault="006A00B9" w:rsidP="006A00B9">
            <w:pPr>
              <w:jc w:val="left"/>
              <w:rPr>
                <w:rFonts w:eastAsia="Malgun Gothic"/>
                <w:b/>
                <w:bCs/>
                <w:lang w:eastAsia="ko-KR"/>
              </w:rPr>
            </w:pP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6"/>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7"/>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7"/>
        <w:numPr>
          <w:ilvl w:val="1"/>
          <w:numId w:val="4"/>
        </w:numPr>
        <w:rPr>
          <w:i/>
          <w:iCs/>
        </w:rPr>
      </w:pPr>
      <w:r>
        <w:rPr>
          <w:i/>
          <w:iCs/>
        </w:rPr>
        <w:t>256-QAM in the UL</w:t>
      </w:r>
    </w:p>
    <w:p w14:paraId="691E50B3" w14:textId="41F6775D" w:rsidR="0049030A" w:rsidRDefault="0049030A" w:rsidP="0049030A">
      <w:pPr>
        <w:pStyle w:val="a7"/>
        <w:numPr>
          <w:ilvl w:val="1"/>
          <w:numId w:val="4"/>
        </w:numPr>
        <w:rPr>
          <w:i/>
          <w:iCs/>
        </w:rPr>
      </w:pPr>
      <w:r>
        <w:rPr>
          <w:i/>
          <w:iCs/>
        </w:rPr>
        <w:t>1024-QAM in the DL</w:t>
      </w:r>
    </w:p>
    <w:p w14:paraId="274E0467" w14:textId="4F1FD098" w:rsidR="0049030A" w:rsidRDefault="0049030A" w:rsidP="0049030A">
      <w:pPr>
        <w:pStyle w:val="a7"/>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7"/>
        <w:numPr>
          <w:ilvl w:val="0"/>
          <w:numId w:val="4"/>
        </w:numPr>
        <w:rPr>
          <w:b/>
          <w:bCs/>
          <w:i/>
          <w:iCs/>
        </w:rPr>
      </w:pPr>
      <w:r w:rsidRPr="00392CB8">
        <w:rPr>
          <w:b/>
          <w:bCs/>
          <w:i/>
          <w:iCs/>
        </w:rPr>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w:t>
            </w:r>
            <w:r>
              <w:rPr>
                <w:rFonts w:eastAsia="Malgun Gothic"/>
                <w:lang w:eastAsia="ko-KR"/>
              </w:rPr>
              <w:lastRenderedPageBreak/>
              <w:t>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lastRenderedPageBreak/>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RedCap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hint="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hint="eastAsia"/>
              </w:rPr>
            </w:pPr>
            <w:r>
              <w:rPr>
                <w:rFonts w:eastAsiaTheme="minorEastAsia"/>
              </w:rPr>
              <w:t>OK with FL’s handling.</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5" w:name="_Ref80031274"/>
    <w:p w14:paraId="7B8B6F94" w14:textId="12E3CE9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5"/>
    </w:p>
    <w:bookmarkStart w:id="6" w:name="_Ref80028852"/>
    <w:p w14:paraId="2F4482EB" w14:textId="21EF8006"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6"/>
    </w:p>
    <w:p w14:paraId="725F387A" w14:textId="30151BA0" w:rsidR="003A7115" w:rsidRPr="005D02EF" w:rsidRDefault="0034675F" w:rsidP="003A7115">
      <w:pPr>
        <w:pStyle w:val="a7"/>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7" w:name="_Ref80028859"/>
    <w:p w14:paraId="4A06889F" w14:textId="0CBA70C0"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7"/>
    </w:p>
    <w:bookmarkStart w:id="8" w:name="_Ref80028583"/>
    <w:p w14:paraId="77B40F9A" w14:textId="1D2E890E"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8"/>
    </w:p>
    <w:bookmarkStart w:id="9" w:name="_Ref80030419"/>
    <w:p w14:paraId="51C790F6" w14:textId="426ACC1A"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9"/>
    </w:p>
    <w:p w14:paraId="70111DAF" w14:textId="78AA2AEE" w:rsidR="003A7115" w:rsidRPr="005D02EF" w:rsidRDefault="0034675F" w:rsidP="003A7115">
      <w:pPr>
        <w:pStyle w:val="a7"/>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10" w:name="_Ref80029002"/>
    <w:p w14:paraId="5BACA720" w14:textId="576BD2D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10"/>
    </w:p>
    <w:bookmarkStart w:id="11" w:name="_Ref80030653"/>
    <w:p w14:paraId="09946DD7" w14:textId="0A137801"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1"/>
    </w:p>
    <w:bookmarkStart w:id="12" w:name="_Ref80031281"/>
    <w:p w14:paraId="0A432391" w14:textId="1780E7DF" w:rsidR="00DE4F08" w:rsidRDefault="003A7115" w:rsidP="003A7115">
      <w:pPr>
        <w:widowControl w:val="0"/>
        <w:numPr>
          <w:ilvl w:val="0"/>
          <w:numId w:val="2"/>
        </w:numPr>
        <w:overflowPunct w:val="0"/>
        <w:snapToGrid/>
      </w:pPr>
      <w:r>
        <w:rPr>
          <w:lang w:eastAsia="x-none"/>
        </w:rPr>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2"/>
    </w:p>
    <w:p w14:paraId="474C16F9" w14:textId="3EE193C0" w:rsidR="00067382" w:rsidRDefault="0048059A" w:rsidP="003A7115">
      <w:pPr>
        <w:widowControl w:val="0"/>
        <w:numPr>
          <w:ilvl w:val="0"/>
          <w:numId w:val="2"/>
        </w:numPr>
        <w:overflowPunct w:val="0"/>
        <w:snapToGrid/>
      </w:pPr>
      <w:bookmarkStart w:id="13" w:name="_Ref80031283"/>
      <w:r w:rsidRPr="0048059A">
        <w:t>R1-2107077</w:t>
      </w:r>
      <w:r>
        <w:t xml:space="preserve">, </w:t>
      </w:r>
      <w:r w:rsidRPr="0048059A">
        <w:t>Design consideration for Higher layer support of RedCap</w:t>
      </w:r>
      <w:r>
        <w:t xml:space="preserve">, </w:t>
      </w:r>
      <w:r w:rsidRPr="0048059A">
        <w:t>Sierra Wireless, S.A.</w:t>
      </w:r>
      <w:bookmarkEnd w:id="13"/>
    </w:p>
    <w:p w14:paraId="6EEDEFE2" w14:textId="3E2B3CA7" w:rsidR="0048059A" w:rsidRDefault="00FD4E31" w:rsidP="003A7115">
      <w:pPr>
        <w:widowControl w:val="0"/>
        <w:numPr>
          <w:ilvl w:val="0"/>
          <w:numId w:val="2"/>
        </w:numPr>
        <w:overflowPunct w:val="0"/>
        <w:snapToGrid/>
      </w:pPr>
      <w:bookmarkStart w:id="14" w:name="_Ref80031285"/>
      <w:r w:rsidRPr="00FD4E31">
        <w:t>R1-2107385</w:t>
      </w:r>
      <w:r>
        <w:t xml:space="preserve">, </w:t>
      </w:r>
      <w:r w:rsidRPr="00FD4E31">
        <w:t>Discussion on scaling factor for RedCap</w:t>
      </w:r>
      <w:r>
        <w:t xml:space="preserve">, </w:t>
      </w:r>
      <w:r w:rsidRPr="00FD4E31">
        <w:t>Spreadtrum Communications, Apple, CEPRI</w:t>
      </w:r>
      <w:bookmarkEnd w:id="14"/>
    </w:p>
    <w:p w14:paraId="1BC2A936" w14:textId="603468E1" w:rsidR="001C11CC" w:rsidRPr="0059163E" w:rsidRDefault="001C11CC" w:rsidP="003A7115">
      <w:pPr>
        <w:widowControl w:val="0"/>
        <w:numPr>
          <w:ilvl w:val="0"/>
          <w:numId w:val="2"/>
        </w:numPr>
        <w:overflowPunct w:val="0"/>
        <w:snapToGrid/>
      </w:pPr>
      <w:bookmarkStart w:id="15" w:name="_Ref80032136"/>
      <w:r w:rsidRPr="001C11CC">
        <w:t>R1-1807651</w:t>
      </w:r>
      <w:r>
        <w:t xml:space="preserve">, </w:t>
      </w:r>
      <w:r w:rsidR="007B5BBF" w:rsidRPr="007B5BBF">
        <w:t>Reply LS on formula or table for L1 data rate</w:t>
      </w:r>
      <w:r w:rsidR="007B5BBF">
        <w:t xml:space="preserve">, </w:t>
      </w:r>
      <w:r w:rsidR="00400EBD">
        <w:t>RAN1</w:t>
      </w:r>
      <w:bookmarkEnd w:id="15"/>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lastRenderedPageBreak/>
        <w:t>Appendix</w:t>
      </w:r>
      <w:bookmarkEnd w:id="16"/>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6"/>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77777777" w:rsidR="00CE2859" w:rsidRDefault="00CE2859" w:rsidP="00243CB2">
            <w:pPr>
              <w:spacing w:after="0"/>
            </w:pPr>
          </w:p>
        </w:tc>
        <w:tc>
          <w:tcPr>
            <w:tcW w:w="2410" w:type="dxa"/>
          </w:tcPr>
          <w:p w14:paraId="4E6DBF13" w14:textId="77777777" w:rsidR="00CE2859" w:rsidRDefault="00CE2859" w:rsidP="00243CB2">
            <w:pPr>
              <w:spacing w:after="0"/>
            </w:pPr>
          </w:p>
        </w:tc>
        <w:tc>
          <w:tcPr>
            <w:tcW w:w="4110" w:type="dxa"/>
          </w:tcPr>
          <w:p w14:paraId="63481763" w14:textId="77777777" w:rsidR="00CE2859" w:rsidRDefault="00CE2859" w:rsidP="00243CB2">
            <w:pPr>
              <w:spacing w:after="0"/>
            </w:pP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2126" w14:textId="77777777" w:rsidR="0034675F" w:rsidRDefault="0034675F" w:rsidP="004C0876">
      <w:pPr>
        <w:spacing w:after="0"/>
      </w:pPr>
      <w:r>
        <w:separator/>
      </w:r>
    </w:p>
  </w:endnote>
  <w:endnote w:type="continuationSeparator" w:id="0">
    <w:p w14:paraId="3C9B3B2C" w14:textId="77777777" w:rsidR="0034675F" w:rsidRDefault="0034675F"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A3A98DB" w:rsidR="00931076" w:rsidRDefault="009310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06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685">
              <w:rPr>
                <w:b/>
                <w:bCs/>
                <w:noProof/>
              </w:rPr>
              <w:t>7</w:t>
            </w:r>
            <w:r>
              <w:rPr>
                <w:b/>
                <w:bCs/>
                <w:sz w:val="24"/>
                <w:szCs w:val="24"/>
              </w:rPr>
              <w:fldChar w:fldCharType="end"/>
            </w:r>
          </w:p>
        </w:sdtContent>
      </w:sdt>
    </w:sdtContent>
  </w:sdt>
  <w:p w14:paraId="7586F307" w14:textId="77777777" w:rsidR="00931076" w:rsidRDefault="0093107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3573" w14:textId="77777777" w:rsidR="0034675F" w:rsidRDefault="0034675F" w:rsidP="004C0876">
      <w:pPr>
        <w:spacing w:after="0"/>
      </w:pPr>
      <w:r>
        <w:separator/>
      </w:r>
    </w:p>
  </w:footnote>
  <w:footnote w:type="continuationSeparator" w:id="0">
    <w:p w14:paraId="44DCB3F7" w14:textId="77777777" w:rsidR="0034675F" w:rsidRDefault="0034675F"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0"/>
    <w:uiPriority w:val="99"/>
    <w:qFormat/>
    <w:rsid w:val="00380B12"/>
    <w:pPr>
      <w:keepNext/>
      <w:spacing w:before="120"/>
      <w:outlineLvl w:val="0"/>
    </w:pPr>
    <w:rPr>
      <w:b/>
      <w:bCs/>
      <w:sz w:val="28"/>
      <w:szCs w:val="28"/>
    </w:rPr>
  </w:style>
  <w:style w:type="paragraph" w:styleId="2">
    <w:name w:val="heading 2"/>
    <w:basedOn w:val="a0"/>
    <w:next w:val="a0"/>
    <w:link w:val="20"/>
    <w:uiPriority w:val="9"/>
    <w:qFormat/>
    <w:rsid w:val="00380B12"/>
    <w:pPr>
      <w:keepNext/>
      <w:spacing w:before="120"/>
      <w:outlineLvl w:val="1"/>
    </w:pPr>
    <w:rPr>
      <w:b/>
      <w:bCs/>
      <w:sz w:val="24"/>
    </w:rPr>
  </w:style>
  <w:style w:type="paragraph" w:styleId="3">
    <w:name w:val="heading 3"/>
    <w:basedOn w:val="a0"/>
    <w:next w:val="a0"/>
    <w:link w:val="30"/>
    <w:qFormat/>
    <w:rsid w:val="00380B12"/>
    <w:pPr>
      <w:keepNext/>
      <w:numPr>
        <w:ilvl w:val="2"/>
        <w:numId w:val="1"/>
      </w:numPr>
      <w:spacing w:before="120"/>
      <w:outlineLvl w:val="2"/>
    </w:pPr>
    <w:rPr>
      <w:b/>
    </w:rPr>
  </w:style>
  <w:style w:type="paragraph" w:styleId="4">
    <w:name w:val="heading 4"/>
    <w:basedOn w:val="a0"/>
    <w:next w:val="a0"/>
    <w:link w:val="40"/>
    <w:qFormat/>
    <w:rsid w:val="00380B12"/>
    <w:pPr>
      <w:keepNext/>
      <w:numPr>
        <w:ilvl w:val="3"/>
        <w:numId w:val="1"/>
      </w:numPr>
      <w:spacing w:before="120"/>
      <w:outlineLvl w:val="3"/>
    </w:pPr>
    <w:rPr>
      <w:b/>
      <w:bCs/>
      <w:szCs w:val="28"/>
    </w:rPr>
  </w:style>
  <w:style w:type="paragraph" w:styleId="5">
    <w:name w:val="heading 5"/>
    <w:basedOn w:val="a0"/>
    <w:next w:val="a0"/>
    <w:link w:val="50"/>
    <w:qFormat/>
    <w:rsid w:val="00380B12"/>
    <w:pPr>
      <w:keepNext/>
      <w:numPr>
        <w:ilvl w:val="4"/>
        <w:numId w:val="1"/>
      </w:numPr>
      <w:spacing w:before="120"/>
      <w:outlineLvl w:val="4"/>
    </w:pPr>
    <w:rPr>
      <w:b/>
      <w:bCs/>
      <w:i/>
      <w:iCs/>
      <w:szCs w:val="26"/>
    </w:rPr>
  </w:style>
  <w:style w:type="paragraph" w:styleId="6">
    <w:name w:val="heading 6"/>
    <w:basedOn w:val="a0"/>
    <w:next w:val="a0"/>
    <w:link w:val="60"/>
    <w:qFormat/>
    <w:rsid w:val="00380B12"/>
    <w:pPr>
      <w:numPr>
        <w:ilvl w:val="5"/>
        <w:numId w:val="1"/>
      </w:numPr>
      <w:spacing w:before="240" w:after="60"/>
      <w:outlineLvl w:val="5"/>
    </w:pPr>
    <w:rPr>
      <w:b/>
      <w:bCs/>
    </w:rPr>
  </w:style>
  <w:style w:type="paragraph" w:styleId="7">
    <w:name w:val="heading 7"/>
    <w:basedOn w:val="a0"/>
    <w:next w:val="a0"/>
    <w:link w:val="70"/>
    <w:qFormat/>
    <w:rsid w:val="00380B12"/>
    <w:pPr>
      <w:numPr>
        <w:ilvl w:val="6"/>
        <w:numId w:val="1"/>
      </w:numPr>
      <w:spacing w:before="240" w:after="60"/>
      <w:outlineLvl w:val="6"/>
    </w:pPr>
    <w:rPr>
      <w:sz w:val="24"/>
      <w:szCs w:val="24"/>
    </w:rPr>
  </w:style>
  <w:style w:type="paragraph" w:styleId="8">
    <w:name w:val="heading 8"/>
    <w:basedOn w:val="a0"/>
    <w:next w:val="a0"/>
    <w:link w:val="80"/>
    <w:qFormat/>
    <w:rsid w:val="00380B12"/>
    <w:pPr>
      <w:numPr>
        <w:ilvl w:val="7"/>
        <w:numId w:val="1"/>
      </w:numPr>
      <w:spacing w:before="240" w:after="60"/>
      <w:outlineLvl w:val="7"/>
    </w:pPr>
    <w:rPr>
      <w:i/>
      <w:iCs/>
      <w:sz w:val="24"/>
      <w:szCs w:val="24"/>
    </w:rPr>
  </w:style>
  <w:style w:type="paragraph" w:styleId="9">
    <w:name w:val="heading 9"/>
    <w:basedOn w:val="a0"/>
    <w:next w:val="a0"/>
    <w:link w:val="90"/>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80B12"/>
    <w:rPr>
      <w:sz w:val="20"/>
      <w:szCs w:val="20"/>
    </w:rPr>
  </w:style>
  <w:style w:type="character" w:customStyle="1" w:styleId="a5">
    <w:name w:val="正文文本 字符"/>
    <w:basedOn w:val="a1"/>
    <w:link w:val="a4"/>
    <w:rsid w:val="00380B12"/>
    <w:rPr>
      <w:rFonts w:ascii="Times New Roman" w:eastAsia="宋体" w:hAnsi="Times New Roman" w:cs="Times New Roman"/>
      <w:sz w:val="20"/>
      <w:szCs w:val="20"/>
    </w:rPr>
  </w:style>
  <w:style w:type="table" w:styleId="a6">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a0"/>
    <w:link w:val="a8"/>
    <w:uiPriority w:val="34"/>
    <w:qFormat/>
    <w:rsid w:val="00380B12"/>
    <w:pPr>
      <w:ind w:left="720"/>
      <w:contextualSpacing/>
    </w:pPr>
  </w:style>
  <w:style w:type="character" w:customStyle="1" w:styleId="a8">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380B12"/>
    <w:rPr>
      <w:rFonts w:ascii="Times New Roman" w:eastAsia="宋体" w:hAnsi="Times New Roman" w:cs="Times New Roma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uiPriority w:val="99"/>
    <w:rsid w:val="00380B12"/>
    <w:rPr>
      <w:rFonts w:ascii="Times New Roman" w:eastAsia="宋体" w:hAnsi="Times New Roman" w:cs="Times New Roman"/>
      <w:b/>
      <w:bCs/>
      <w:sz w:val="28"/>
      <w:szCs w:val="28"/>
    </w:rPr>
  </w:style>
  <w:style w:type="character" w:customStyle="1" w:styleId="20">
    <w:name w:val="标题 2 字符"/>
    <w:basedOn w:val="a1"/>
    <w:link w:val="2"/>
    <w:uiPriority w:val="9"/>
    <w:rsid w:val="00380B12"/>
    <w:rPr>
      <w:rFonts w:ascii="Times New Roman" w:eastAsia="宋体" w:hAnsi="Times New Roman" w:cs="Times New Roman"/>
      <w:b/>
      <w:bCs/>
      <w:sz w:val="24"/>
    </w:rPr>
  </w:style>
  <w:style w:type="character" w:customStyle="1" w:styleId="30">
    <w:name w:val="标题 3 字符"/>
    <w:basedOn w:val="a1"/>
    <w:link w:val="3"/>
    <w:rsid w:val="00380B12"/>
    <w:rPr>
      <w:rFonts w:ascii="Times New Roman" w:hAnsi="Times New Roman" w:cs="Times New Roman"/>
      <w:b/>
    </w:rPr>
  </w:style>
  <w:style w:type="character" w:customStyle="1" w:styleId="40">
    <w:name w:val="标题 4 字符"/>
    <w:basedOn w:val="a1"/>
    <w:link w:val="4"/>
    <w:rsid w:val="00380B12"/>
    <w:rPr>
      <w:rFonts w:ascii="Times New Roman" w:hAnsi="Times New Roman" w:cs="Times New Roman"/>
      <w:b/>
      <w:bCs/>
      <w:szCs w:val="28"/>
    </w:rPr>
  </w:style>
  <w:style w:type="character" w:customStyle="1" w:styleId="50">
    <w:name w:val="标题 5 字符"/>
    <w:basedOn w:val="a1"/>
    <w:link w:val="5"/>
    <w:rsid w:val="00380B12"/>
    <w:rPr>
      <w:rFonts w:ascii="Times New Roman" w:hAnsi="Times New Roman" w:cs="Times New Roman"/>
      <w:b/>
      <w:bCs/>
      <w:i/>
      <w:iCs/>
      <w:szCs w:val="26"/>
    </w:rPr>
  </w:style>
  <w:style w:type="character" w:customStyle="1" w:styleId="60">
    <w:name w:val="标题 6 字符"/>
    <w:basedOn w:val="a1"/>
    <w:link w:val="6"/>
    <w:rsid w:val="00380B12"/>
    <w:rPr>
      <w:rFonts w:ascii="Times New Roman" w:hAnsi="Times New Roman" w:cs="Times New Roman"/>
      <w:b/>
      <w:bCs/>
    </w:rPr>
  </w:style>
  <w:style w:type="character" w:customStyle="1" w:styleId="70">
    <w:name w:val="标题 7 字符"/>
    <w:basedOn w:val="a1"/>
    <w:link w:val="7"/>
    <w:rsid w:val="00380B12"/>
    <w:rPr>
      <w:rFonts w:ascii="Times New Roman" w:hAnsi="Times New Roman" w:cs="Times New Roman"/>
      <w:sz w:val="24"/>
      <w:szCs w:val="24"/>
    </w:rPr>
  </w:style>
  <w:style w:type="character" w:customStyle="1" w:styleId="80">
    <w:name w:val="标题 8 字符"/>
    <w:basedOn w:val="a1"/>
    <w:link w:val="8"/>
    <w:rsid w:val="00380B12"/>
    <w:rPr>
      <w:rFonts w:ascii="Times New Roman" w:hAnsi="Times New Roman" w:cs="Times New Roman"/>
      <w:i/>
      <w:iCs/>
      <w:sz w:val="24"/>
      <w:szCs w:val="24"/>
    </w:rPr>
  </w:style>
  <w:style w:type="character" w:customStyle="1" w:styleId="90">
    <w:name w:val="标题 9 字符"/>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9">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aa"/>
    <w:uiPriority w:val="35"/>
    <w:qFormat/>
    <w:rsid w:val="001D4654"/>
    <w:pPr>
      <w:jc w:val="center"/>
    </w:pPr>
    <w:rPr>
      <w:b/>
      <w:bCs/>
      <w:kern w:val="2"/>
      <w:sz w:val="20"/>
      <w:szCs w:val="20"/>
      <w:lang w:val="en-GB" w:eastAsia="zh-CN"/>
    </w:rPr>
  </w:style>
  <w:style w:type="character" w:customStyle="1" w:styleId="aa">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9"/>
    <w:rsid w:val="001D4654"/>
    <w:rPr>
      <w:rFonts w:ascii="Times New Roman" w:eastAsia="宋体" w:hAnsi="Times New Roman" w:cs="Times New Roman"/>
      <w:b/>
      <w:bCs/>
      <w:kern w:val="2"/>
      <w:sz w:val="20"/>
      <w:szCs w:val="20"/>
      <w:lang w:val="en-GB" w:eastAsia="zh-CN"/>
    </w:rPr>
  </w:style>
  <w:style w:type="table" w:customStyle="1" w:styleId="11">
    <w:name w:val="网格型1"/>
    <w:basedOn w:val="a2"/>
    <w:next w:val="a6"/>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b">
    <w:name w:val="Balloon Text"/>
    <w:basedOn w:val="a0"/>
    <w:link w:val="ac"/>
    <w:uiPriority w:val="99"/>
    <w:semiHidden/>
    <w:unhideWhenUsed/>
    <w:rsid w:val="00ED79AD"/>
    <w:pPr>
      <w:spacing w:after="0"/>
    </w:pPr>
    <w:rPr>
      <w:rFonts w:ascii="Segoe UI" w:hAnsi="Segoe UI" w:cs="Segoe UI"/>
      <w:sz w:val="18"/>
      <w:szCs w:val="18"/>
    </w:rPr>
  </w:style>
  <w:style w:type="character" w:customStyle="1" w:styleId="ac">
    <w:name w:val="批注框文本 字符"/>
    <w:basedOn w:val="a1"/>
    <w:link w:val="ab"/>
    <w:uiPriority w:val="99"/>
    <w:semiHidden/>
    <w:rsid w:val="00ED79AD"/>
    <w:rPr>
      <w:rFonts w:ascii="Segoe UI" w:eastAsia="宋体"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d">
    <w:name w:val="annotation reference"/>
    <w:basedOn w:val="a1"/>
    <w:uiPriority w:val="99"/>
    <w:semiHidden/>
    <w:unhideWhenUsed/>
    <w:rsid w:val="00481CA9"/>
    <w:rPr>
      <w:sz w:val="16"/>
      <w:szCs w:val="16"/>
    </w:rPr>
  </w:style>
  <w:style w:type="paragraph" w:styleId="ae">
    <w:name w:val="annotation text"/>
    <w:basedOn w:val="a0"/>
    <w:link w:val="af"/>
    <w:uiPriority w:val="99"/>
    <w:unhideWhenUsed/>
    <w:rsid w:val="00481CA9"/>
    <w:rPr>
      <w:sz w:val="20"/>
      <w:szCs w:val="20"/>
    </w:rPr>
  </w:style>
  <w:style w:type="character" w:customStyle="1" w:styleId="af">
    <w:name w:val="批注文字 字符"/>
    <w:basedOn w:val="a1"/>
    <w:link w:val="ae"/>
    <w:uiPriority w:val="99"/>
    <w:rsid w:val="00481CA9"/>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481CA9"/>
    <w:rPr>
      <w:b/>
      <w:bCs/>
    </w:rPr>
  </w:style>
  <w:style w:type="character" w:customStyle="1" w:styleId="af1">
    <w:name w:val="批注主题 字符"/>
    <w:basedOn w:val="af"/>
    <w:link w:val="af0"/>
    <w:uiPriority w:val="99"/>
    <w:semiHidden/>
    <w:rsid w:val="00481CA9"/>
    <w:rPr>
      <w:rFonts w:ascii="Times New Roman" w:eastAsia="宋体" w:hAnsi="Times New Roman" w:cs="Times New Roman"/>
      <w:b/>
      <w:bCs/>
      <w:sz w:val="20"/>
      <w:szCs w:val="20"/>
    </w:rPr>
  </w:style>
  <w:style w:type="paragraph" w:styleId="af2">
    <w:name w:val="header"/>
    <w:basedOn w:val="a0"/>
    <w:link w:val="af3"/>
    <w:uiPriority w:val="99"/>
    <w:unhideWhenUsed/>
    <w:rsid w:val="004C0876"/>
    <w:pPr>
      <w:tabs>
        <w:tab w:val="center" w:pos="4680"/>
        <w:tab w:val="right" w:pos="9360"/>
      </w:tabs>
      <w:spacing w:after="0"/>
    </w:pPr>
  </w:style>
  <w:style w:type="character" w:customStyle="1" w:styleId="af3">
    <w:name w:val="页眉 字符"/>
    <w:basedOn w:val="a1"/>
    <w:link w:val="af2"/>
    <w:uiPriority w:val="99"/>
    <w:rsid w:val="004C0876"/>
    <w:rPr>
      <w:rFonts w:ascii="Times New Roman" w:eastAsia="宋体" w:hAnsi="Times New Roman" w:cs="Times New Roman"/>
    </w:rPr>
  </w:style>
  <w:style w:type="paragraph" w:styleId="af4">
    <w:name w:val="footer"/>
    <w:basedOn w:val="a0"/>
    <w:link w:val="af5"/>
    <w:uiPriority w:val="99"/>
    <w:unhideWhenUsed/>
    <w:rsid w:val="004C0876"/>
    <w:pPr>
      <w:tabs>
        <w:tab w:val="center" w:pos="4680"/>
        <w:tab w:val="right" w:pos="9360"/>
      </w:tabs>
      <w:spacing w:after="0"/>
    </w:pPr>
  </w:style>
  <w:style w:type="character" w:customStyle="1" w:styleId="af5">
    <w:name w:val="页脚 字符"/>
    <w:basedOn w:val="a1"/>
    <w:link w:val="af4"/>
    <w:uiPriority w:val="99"/>
    <w:rsid w:val="004C0876"/>
    <w:rPr>
      <w:rFonts w:ascii="Times New Roman" w:eastAsia="宋体" w:hAnsi="Times New Roman" w:cs="Times New Roman"/>
    </w:rPr>
  </w:style>
  <w:style w:type="character" w:styleId="af6">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7">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next w:val="a6"/>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3">
    <w:name w:val="未处理的提及1"/>
    <w:basedOn w:val="a1"/>
    <w:uiPriority w:val="99"/>
    <w:semiHidden/>
    <w:unhideWhenUsed/>
    <w:rsid w:val="005C6D5E"/>
    <w:rPr>
      <w:color w:val="605E5C"/>
      <w:shd w:val="clear" w:color="auto" w:fill="E1DFDD"/>
    </w:rPr>
  </w:style>
  <w:style w:type="character" w:styleId="af9">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MS Mincho"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rsid w:val="001109D8"/>
    <w:rPr>
      <w:rFonts w:ascii="Calibri" w:eastAsia="MS Mincho"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rsid w:val="001109D8"/>
    <w:rPr>
      <w:rFonts w:ascii="Calibri" w:eastAsia="MS Mincho"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6A8B-06A2-4CC9-9C78-BED65B44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9639C9B7-F942-41DB-9BF3-3906A695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2778</Words>
  <Characters>15841</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cmcc</cp:lastModifiedBy>
  <cp:revision>4</cp:revision>
  <dcterms:created xsi:type="dcterms:W3CDTF">2021-08-17T11:29:00Z</dcterms:created>
  <dcterms:modified xsi:type="dcterms:W3CDTF">2021-08-17T11:32:00Z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0x010100441F496DF3E1A347AFE2BB5C981342DD</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