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360909">
            <w:pPr>
              <w:rPr>
                <w:lang w:eastAsia="ko-KR"/>
              </w:rPr>
            </w:pPr>
            <w:r>
              <w:rPr>
                <w:lang w:eastAsia="ko-KR"/>
              </w:rPr>
              <w:t>Ericsson</w:t>
            </w:r>
          </w:p>
        </w:tc>
        <w:tc>
          <w:tcPr>
            <w:tcW w:w="1372" w:type="dxa"/>
          </w:tcPr>
          <w:p w14:paraId="3A056DC2" w14:textId="77777777" w:rsidR="001C358F" w:rsidRDefault="001C358F" w:rsidP="00360909">
            <w:pPr>
              <w:tabs>
                <w:tab w:val="left" w:pos="551"/>
              </w:tabs>
              <w:rPr>
                <w:lang w:eastAsia="ko-KR"/>
              </w:rPr>
            </w:pPr>
          </w:p>
        </w:tc>
        <w:tc>
          <w:tcPr>
            <w:tcW w:w="6780" w:type="dxa"/>
          </w:tcPr>
          <w:p w14:paraId="7D506B50"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4F0A1533" w14:textId="77777777" w:rsidTr="001C358F">
        <w:tc>
          <w:tcPr>
            <w:tcW w:w="1479" w:type="dxa"/>
          </w:tcPr>
          <w:p w14:paraId="0645A333" w14:textId="729F9D21" w:rsidR="00360909" w:rsidRDefault="00360909" w:rsidP="00360909">
            <w:pPr>
              <w:rPr>
                <w:lang w:eastAsia="ko-KR"/>
              </w:rPr>
            </w:pPr>
            <w:r>
              <w:rPr>
                <w:lang w:eastAsia="ko-KR"/>
              </w:rPr>
              <w:t>Qualcomm</w:t>
            </w:r>
          </w:p>
        </w:tc>
        <w:tc>
          <w:tcPr>
            <w:tcW w:w="1372" w:type="dxa"/>
          </w:tcPr>
          <w:p w14:paraId="3892803E" w14:textId="77777777" w:rsidR="00360909" w:rsidRDefault="00360909" w:rsidP="00360909">
            <w:pPr>
              <w:tabs>
                <w:tab w:val="left" w:pos="551"/>
              </w:tabs>
              <w:rPr>
                <w:lang w:eastAsia="ko-KR"/>
              </w:rPr>
            </w:pPr>
          </w:p>
        </w:tc>
        <w:tc>
          <w:tcPr>
            <w:tcW w:w="6780" w:type="dxa"/>
          </w:tcPr>
          <w:p w14:paraId="34D14232" w14:textId="03ADA64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A08D73"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674EA483" w14:textId="361AFFB1"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6CE1CDD1" w14:textId="77777777" w:rsidTr="001C358F">
        <w:tc>
          <w:tcPr>
            <w:tcW w:w="1479" w:type="dxa"/>
          </w:tcPr>
          <w:p w14:paraId="1387992D" w14:textId="5921E013" w:rsidR="006E4E37" w:rsidRDefault="006E4E37" w:rsidP="00360909">
            <w:pPr>
              <w:rPr>
                <w:lang w:eastAsia="ko-KR"/>
              </w:rPr>
            </w:pPr>
            <w:r>
              <w:rPr>
                <w:lang w:eastAsia="ko-KR"/>
              </w:rPr>
              <w:t>Apple</w:t>
            </w:r>
          </w:p>
        </w:tc>
        <w:tc>
          <w:tcPr>
            <w:tcW w:w="1372" w:type="dxa"/>
          </w:tcPr>
          <w:p w14:paraId="540BFFC7" w14:textId="77777777" w:rsidR="006E4E37" w:rsidRDefault="006E4E37" w:rsidP="00360909">
            <w:pPr>
              <w:tabs>
                <w:tab w:val="left" w:pos="551"/>
              </w:tabs>
              <w:rPr>
                <w:lang w:eastAsia="ko-KR"/>
              </w:rPr>
            </w:pPr>
          </w:p>
        </w:tc>
        <w:tc>
          <w:tcPr>
            <w:tcW w:w="6780" w:type="dxa"/>
          </w:tcPr>
          <w:p w14:paraId="3D557F93" w14:textId="2957FE8B"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6B606A7A" w14:textId="32955EEA"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lastRenderedPageBreak/>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2BF140CA" w14:textId="5E373142"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w:t>
            </w:r>
            <w:r w:rsidRPr="00DE384E">
              <w:rPr>
                <w:lang w:eastAsia="ko-KR"/>
              </w:rPr>
              <w:lastRenderedPageBreak/>
              <w:t>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lastRenderedPageBreak/>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3EBB886C"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lastRenderedPageBreak/>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lastRenderedPageBreak/>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mc:AlternateContent>
                  <mc:Choice Requires="w16se">
                    <w:rFonts w:eastAsia="SimSu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360909">
            <w:pPr>
              <w:rPr>
                <w:lang w:eastAsia="ko-KR"/>
              </w:rPr>
            </w:pPr>
            <w:r>
              <w:rPr>
                <w:lang w:eastAsia="ko-KR"/>
              </w:rPr>
              <w:t>Ericsson</w:t>
            </w:r>
          </w:p>
        </w:tc>
        <w:tc>
          <w:tcPr>
            <w:tcW w:w="1372" w:type="dxa"/>
          </w:tcPr>
          <w:p w14:paraId="4987DE71"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C6D6AD7" w14:textId="77777777" w:rsidR="001C358F" w:rsidRDefault="001C358F" w:rsidP="00360909">
            <w:pPr>
              <w:rPr>
                <w:rFonts w:eastAsia="SimSun"/>
                <w:lang w:val="en-US" w:eastAsia="zh-CN"/>
              </w:rPr>
            </w:pPr>
          </w:p>
        </w:tc>
      </w:tr>
      <w:tr w:rsidR="008E31DC" w14:paraId="5863359C" w14:textId="77777777" w:rsidTr="001C358F">
        <w:tc>
          <w:tcPr>
            <w:tcW w:w="1479" w:type="dxa"/>
          </w:tcPr>
          <w:p w14:paraId="4EBA0F99" w14:textId="6CA7049A" w:rsidR="008E31DC" w:rsidRDefault="008E31DC" w:rsidP="00360909">
            <w:pPr>
              <w:rPr>
                <w:lang w:eastAsia="ko-KR"/>
              </w:rPr>
            </w:pPr>
            <w:r>
              <w:rPr>
                <w:lang w:eastAsia="ko-KR"/>
              </w:rPr>
              <w:t>Qualcomm</w:t>
            </w:r>
          </w:p>
        </w:tc>
        <w:tc>
          <w:tcPr>
            <w:tcW w:w="1372" w:type="dxa"/>
          </w:tcPr>
          <w:p w14:paraId="52F54150" w14:textId="5E68824D"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25D78703" w14:textId="77777777" w:rsidR="008E31DC" w:rsidRDefault="008E31DC" w:rsidP="00360909">
            <w:pPr>
              <w:rPr>
                <w:rFonts w:eastAsia="SimSun"/>
                <w:lang w:val="en-US" w:eastAsia="zh-CN"/>
              </w:rPr>
            </w:pPr>
          </w:p>
        </w:tc>
      </w:tr>
      <w:tr w:rsidR="00FF6F68" w14:paraId="4F27ED4C" w14:textId="77777777" w:rsidTr="001C358F">
        <w:tc>
          <w:tcPr>
            <w:tcW w:w="1479" w:type="dxa"/>
          </w:tcPr>
          <w:p w14:paraId="769170F4" w14:textId="7717CE60" w:rsidR="00FF6F68" w:rsidRDefault="00FF6F68" w:rsidP="00360909">
            <w:pPr>
              <w:rPr>
                <w:lang w:eastAsia="ko-KR"/>
              </w:rPr>
            </w:pPr>
            <w:r>
              <w:rPr>
                <w:lang w:eastAsia="ko-KR"/>
              </w:rPr>
              <w:t xml:space="preserve">Apple </w:t>
            </w:r>
          </w:p>
        </w:tc>
        <w:tc>
          <w:tcPr>
            <w:tcW w:w="1372" w:type="dxa"/>
          </w:tcPr>
          <w:p w14:paraId="44A74304" w14:textId="67551E41"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FC2CC63" w14:textId="6B2DE79B"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35CBAF"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0E71EDD6"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6667777D"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3A1549CB"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0E7F315B" w14:textId="2B5EF493"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 xml:space="preserve">Need to support configuration of dedicated PRACH </w:t>
            </w:r>
            <w:proofErr w:type="spellStart"/>
            <w:r w:rsidRPr="00DE384E">
              <w:rPr>
                <w:rFonts w:ascii="Times New Roman" w:hAnsi="Times New Roman" w:cs="Times New Roman"/>
                <w:sz w:val="20"/>
                <w:szCs w:val="20"/>
                <w:lang w:eastAsia="ko-KR"/>
              </w:rPr>
              <w:t>resources</w:t>
            </w:r>
            <w:proofErr w:type="spellEnd"/>
            <w:r w:rsidRPr="00DE384E">
              <w:rPr>
                <w:rFonts w:ascii="Times New Roman" w:hAnsi="Times New Roman" w:cs="Times New Roman"/>
                <w:sz w:val="20"/>
                <w:szCs w:val="20"/>
                <w:lang w:eastAsia="ko-KR"/>
              </w:rPr>
              <w:t xml:space="preserve"> to HD-FDD </w:t>
            </w:r>
            <w:proofErr w:type="spellStart"/>
            <w:r w:rsidRPr="00DE384E">
              <w:rPr>
                <w:rFonts w:ascii="Times New Roman" w:hAnsi="Times New Roman" w:cs="Times New Roman"/>
                <w:sz w:val="20"/>
                <w:szCs w:val="20"/>
                <w:lang w:eastAsia="ko-KR"/>
              </w:rPr>
              <w:t>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roofErr w:type="spellEnd"/>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573B544F"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lastRenderedPageBreak/>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44EE59A1"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proofErr w:type="gramStart"/>
            <w:r w:rsidRPr="00DE384E">
              <w:rPr>
                <w:rFonts w:eastAsia="SimSun"/>
                <w:lang w:val="en-US" w:eastAsia="zh-CN"/>
              </w:rPr>
              <w:t>So</w:t>
            </w:r>
            <w:proofErr w:type="gramEnd"/>
            <w:r w:rsidRPr="00DE384E">
              <w:rPr>
                <w:rFonts w:eastAsia="SimSun"/>
                <w:lang w:val="en-US" w:eastAsia="zh-CN"/>
              </w:rPr>
              <w:t xml:space="preserve">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071F2B9"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lastRenderedPageBreak/>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lastRenderedPageBreak/>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8D86369"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Mapping </w:t>
            </w:r>
            <w:proofErr w:type="spellStart"/>
            <w:r w:rsidRPr="00DE384E">
              <w:rPr>
                <w:rFonts w:ascii="Times New Roman" w:hAnsi="Times New Roman" w:cs="Times New Roman"/>
                <w:sz w:val="20"/>
                <w:szCs w:val="20"/>
                <w:lang w:eastAsia="ko-KR"/>
              </w:rPr>
              <w:t>of</w:t>
            </w:r>
            <w:proofErr w:type="spellEnd"/>
            <w:r w:rsidRPr="00DE384E">
              <w:rPr>
                <w:rFonts w:ascii="Times New Roman" w:hAnsi="Times New Roman" w:cs="Times New Roman"/>
                <w:sz w:val="20"/>
                <w:szCs w:val="20"/>
                <w:lang w:eastAsia="ko-KR"/>
              </w:rPr>
              <w:t xml:space="preserve"> </w:t>
            </w:r>
            <w:proofErr w:type="gramStart"/>
            <w:r w:rsidRPr="00DE384E">
              <w:rPr>
                <w:rFonts w:ascii="Times New Roman" w:hAnsi="Times New Roman" w:cs="Times New Roman"/>
                <w:sz w:val="20"/>
                <w:szCs w:val="20"/>
                <w:lang w:eastAsia="ko-KR"/>
              </w:rPr>
              <w:t>SSBs</w:t>
            </w:r>
            <w:proofErr w:type="gramEnd"/>
            <w:r w:rsidRPr="00DE384E">
              <w:rPr>
                <w:rFonts w:ascii="Times New Roman" w:hAnsi="Times New Roman" w:cs="Times New Roman"/>
                <w:sz w:val="20"/>
                <w:szCs w:val="20"/>
                <w:lang w:eastAsia="ko-KR"/>
              </w:rPr>
              <w:t xml:space="preserve">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w:t>
            </w:r>
            <w:proofErr w:type="spellStart"/>
            <w:r w:rsidRPr="00DE384E">
              <w:rPr>
                <w:rFonts w:ascii="Times New Roman" w:hAnsi="Times New Roman" w:cs="Times New Roman"/>
                <w:sz w:val="20"/>
                <w:szCs w:val="20"/>
                <w:lang w:eastAsia="ko-KR"/>
              </w:rPr>
              <w:t>sequences</w:t>
            </w:r>
            <w:proofErr w:type="spellEnd"/>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073F5672"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lastRenderedPageBreak/>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DB25D00"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2133AE30"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10BEC03"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47F2EA65"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360909">
            <w:pPr>
              <w:rPr>
                <w:lang w:eastAsia="ko-KR"/>
              </w:rPr>
            </w:pPr>
            <w:r>
              <w:rPr>
                <w:lang w:eastAsia="ko-KR"/>
              </w:rPr>
              <w:t>Ericsson</w:t>
            </w:r>
          </w:p>
        </w:tc>
        <w:tc>
          <w:tcPr>
            <w:tcW w:w="720" w:type="dxa"/>
          </w:tcPr>
          <w:p w14:paraId="79ABECDE" w14:textId="77777777" w:rsidR="001C358F" w:rsidRPr="00434B05" w:rsidRDefault="001C358F" w:rsidP="00360909">
            <w:pPr>
              <w:tabs>
                <w:tab w:val="left" w:pos="551"/>
              </w:tabs>
              <w:rPr>
                <w:lang w:eastAsia="ko-KR"/>
              </w:rPr>
            </w:pPr>
          </w:p>
        </w:tc>
        <w:tc>
          <w:tcPr>
            <w:tcW w:w="7858" w:type="dxa"/>
          </w:tcPr>
          <w:p w14:paraId="53AAFF93"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656BABCB" w14:textId="77777777" w:rsidTr="001C358F">
        <w:tc>
          <w:tcPr>
            <w:tcW w:w="1278" w:type="dxa"/>
          </w:tcPr>
          <w:p w14:paraId="0BF6CE08" w14:textId="6177CF90" w:rsidR="00FF6F68" w:rsidRDefault="00FF6F68" w:rsidP="00360909">
            <w:pPr>
              <w:rPr>
                <w:lang w:eastAsia="ko-KR"/>
              </w:rPr>
            </w:pPr>
            <w:r>
              <w:rPr>
                <w:lang w:eastAsia="ko-KR"/>
              </w:rPr>
              <w:t xml:space="preserve">Apple </w:t>
            </w:r>
          </w:p>
        </w:tc>
        <w:tc>
          <w:tcPr>
            <w:tcW w:w="720" w:type="dxa"/>
          </w:tcPr>
          <w:p w14:paraId="164AAD53" w14:textId="77777777" w:rsidR="00FF6F68" w:rsidRPr="00434B05" w:rsidRDefault="00FF6F68" w:rsidP="00360909">
            <w:pPr>
              <w:tabs>
                <w:tab w:val="left" w:pos="551"/>
              </w:tabs>
              <w:rPr>
                <w:lang w:eastAsia="ko-KR"/>
              </w:rPr>
            </w:pPr>
          </w:p>
        </w:tc>
        <w:tc>
          <w:tcPr>
            <w:tcW w:w="7858" w:type="dxa"/>
          </w:tcPr>
          <w:p w14:paraId="49E80745" w14:textId="244AB85E" w:rsidR="00FF6F68" w:rsidRPr="007E4142" w:rsidRDefault="00FF6F68" w:rsidP="00360909">
            <w:pPr>
              <w:rPr>
                <w:rFonts w:eastAsiaTheme="minorEastAsia"/>
                <w:lang w:val="sv-SE"/>
              </w:rPr>
            </w:pPr>
            <w:r>
              <w:rPr>
                <w:rFonts w:eastAsiaTheme="minorEastAsia"/>
                <w:lang w:val="sv-SE"/>
              </w:rPr>
              <w:t xml:space="preserve">Q1: Alt-c is </w:t>
            </w:r>
            <w:proofErr w:type="spellStart"/>
            <w:r>
              <w:rPr>
                <w:rFonts w:eastAsiaTheme="minorEastAsia"/>
                <w:lang w:val="sv-SE"/>
              </w:rPr>
              <w:t>preferable</w:t>
            </w:r>
            <w:proofErr w:type="spellEnd"/>
            <w:r>
              <w:rPr>
                <w:rFonts w:eastAsiaTheme="minorEastAsia"/>
                <w:lang w:val="sv-SE"/>
              </w:rPr>
              <w:t xml:space="preserve">.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 xml:space="preserve">From the above, a common question is whether to define the priority rule per CSS set. Also, it is noted that in the following agreement for Case 2, the PRACH triggered by PDCCH order has a higher priority than the semi-statically configured </w:t>
      </w:r>
      <w:r w:rsidRPr="00DE384E">
        <w:rPr>
          <w:lang w:eastAsia="zh-CN"/>
        </w:rPr>
        <w:lastRenderedPageBreak/>
        <w:t>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4B31624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r w:rsidRPr="00DE384E">
              <w:rPr>
                <w:rFonts w:eastAsia="SimSun"/>
                <w:lang w:val="en-US" w:eastAsia="zh-CN"/>
              </w:rPr>
              <w:t>ZTE,Sanechips</w:t>
            </w:r>
            <w:proofErr w:type="spell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w:t>
            </w:r>
            <w:r w:rsidRPr="00DE384E">
              <w:rPr>
                <w:lang w:val="en-US"/>
              </w:rPr>
              <w:lastRenderedPageBreak/>
              <w:t>prioritized on which HD-FDD RedCap UE intends to send preamble ;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lastRenderedPageBreak/>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0B0842CA"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58E149D6"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3AC9F706"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r w:rsidR="00350062" w:rsidRPr="00434B05" w14:paraId="3DA3FB48" w14:textId="77777777" w:rsidTr="000A5A5F">
        <w:tc>
          <w:tcPr>
            <w:tcW w:w="1458" w:type="dxa"/>
          </w:tcPr>
          <w:p w14:paraId="4447EC72" w14:textId="0143C87F"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1646A377" w14:textId="77777777" w:rsidR="00350062" w:rsidRDefault="00350062" w:rsidP="001C358F">
            <w:pPr>
              <w:tabs>
                <w:tab w:val="left" w:pos="551"/>
              </w:tabs>
              <w:rPr>
                <w:rFonts w:eastAsia="Yu Mincho"/>
                <w:lang w:eastAsia="ja-JP"/>
              </w:rPr>
            </w:pPr>
          </w:p>
        </w:tc>
        <w:tc>
          <w:tcPr>
            <w:tcW w:w="6597" w:type="dxa"/>
          </w:tcPr>
          <w:p w14:paraId="2EF9BBBD" w14:textId="2C5BF5CE" w:rsidR="00350062" w:rsidRDefault="00350062" w:rsidP="001C358F">
            <w:pPr>
              <w:rPr>
                <w:rFonts w:eastAsiaTheme="minorEastAsia"/>
              </w:rPr>
            </w:pPr>
            <w:r>
              <w:rPr>
                <w:rFonts w:eastAsiaTheme="minorEastAsia"/>
              </w:rPr>
              <w:t>Option 2 is supported</w:t>
            </w:r>
          </w:p>
        </w:tc>
      </w:tr>
      <w:tr w:rsidR="00FF6F68" w:rsidRPr="00434B05" w14:paraId="510B498E" w14:textId="77777777" w:rsidTr="000A5A5F">
        <w:tc>
          <w:tcPr>
            <w:tcW w:w="1458" w:type="dxa"/>
          </w:tcPr>
          <w:p w14:paraId="65875E23" w14:textId="2AD6D016"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153362BF" w14:textId="77777777" w:rsidR="00FF6F68" w:rsidRDefault="00FF6F68" w:rsidP="001C358F">
            <w:pPr>
              <w:tabs>
                <w:tab w:val="left" w:pos="551"/>
              </w:tabs>
              <w:rPr>
                <w:rFonts w:eastAsia="Yu Mincho"/>
                <w:lang w:eastAsia="ja-JP"/>
              </w:rPr>
            </w:pPr>
          </w:p>
        </w:tc>
        <w:tc>
          <w:tcPr>
            <w:tcW w:w="6597" w:type="dxa"/>
          </w:tcPr>
          <w:p w14:paraId="6F6000CA" w14:textId="2BF674E1" w:rsidR="00FF6F68" w:rsidRDefault="00FF6F68" w:rsidP="001C358F">
            <w:pPr>
              <w:rPr>
                <w:rFonts w:eastAsiaTheme="minorEastAsia"/>
              </w:rPr>
            </w:pPr>
            <w:r>
              <w:rPr>
                <w:rFonts w:eastAsiaTheme="minorEastAsia"/>
              </w:rPr>
              <w:t xml:space="preserve">Opt.2 is preferrable. </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lastRenderedPageBreak/>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lastRenderedPageBreak/>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30BBF8B4" w14:textId="77777777" w:rsidTr="001C358F">
        <w:tc>
          <w:tcPr>
            <w:tcW w:w="1479" w:type="dxa"/>
          </w:tcPr>
          <w:p w14:paraId="7FE74D30"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78935BA" w14:textId="77777777" w:rsidR="001C358F" w:rsidRPr="00434B05" w:rsidRDefault="001C358F" w:rsidP="00360909">
            <w:pPr>
              <w:tabs>
                <w:tab w:val="left" w:pos="551"/>
              </w:tabs>
              <w:rPr>
                <w:rFonts w:eastAsiaTheme="minorEastAsia"/>
              </w:rPr>
            </w:pPr>
          </w:p>
        </w:tc>
        <w:tc>
          <w:tcPr>
            <w:tcW w:w="6780" w:type="dxa"/>
          </w:tcPr>
          <w:p w14:paraId="15DF1430" w14:textId="77777777" w:rsidR="001C358F" w:rsidRDefault="001C358F" w:rsidP="00360909">
            <w:pPr>
              <w:rPr>
                <w:rFonts w:eastAsiaTheme="minorEastAsia"/>
              </w:rPr>
            </w:pPr>
            <w:r>
              <w:rPr>
                <w:rFonts w:eastAsiaTheme="minorEastAsia"/>
              </w:rPr>
              <w:t>We prefer Option 1 for simplicity, but can be open to Option 2.</w:t>
            </w:r>
          </w:p>
          <w:p w14:paraId="2A163354" w14:textId="77777777" w:rsidR="001C358F" w:rsidRDefault="001C358F" w:rsidP="00360909">
            <w:pPr>
              <w:rPr>
                <w:rFonts w:eastAsiaTheme="minorEastAsia"/>
              </w:rPr>
            </w:pPr>
            <w:r>
              <w:rPr>
                <w:rFonts w:eastAsiaTheme="minorEastAsia"/>
              </w:rPr>
              <w:t>Option 4 proposed by FL is not preferred.</w:t>
            </w:r>
          </w:p>
        </w:tc>
      </w:tr>
      <w:tr w:rsidR="0064197D" w14:paraId="0F55BEC3" w14:textId="77777777" w:rsidTr="001C358F">
        <w:tc>
          <w:tcPr>
            <w:tcW w:w="1479" w:type="dxa"/>
          </w:tcPr>
          <w:p w14:paraId="291E4314" w14:textId="21FA9298" w:rsidR="0064197D" w:rsidRDefault="0064197D" w:rsidP="00360909">
            <w:pPr>
              <w:rPr>
                <w:rFonts w:eastAsiaTheme="minorEastAsia"/>
                <w:lang w:eastAsia="zh-CN"/>
              </w:rPr>
            </w:pPr>
            <w:r>
              <w:rPr>
                <w:rFonts w:eastAsiaTheme="minorEastAsia"/>
                <w:lang w:eastAsia="zh-CN"/>
              </w:rPr>
              <w:t>Qualcomm</w:t>
            </w:r>
          </w:p>
        </w:tc>
        <w:tc>
          <w:tcPr>
            <w:tcW w:w="1372" w:type="dxa"/>
          </w:tcPr>
          <w:p w14:paraId="09002C36" w14:textId="77777777" w:rsidR="0064197D" w:rsidRPr="00434B05" w:rsidRDefault="0064197D" w:rsidP="00360909">
            <w:pPr>
              <w:tabs>
                <w:tab w:val="left" w:pos="551"/>
              </w:tabs>
              <w:rPr>
                <w:rFonts w:eastAsiaTheme="minorEastAsia"/>
              </w:rPr>
            </w:pPr>
          </w:p>
        </w:tc>
        <w:tc>
          <w:tcPr>
            <w:tcW w:w="6780" w:type="dxa"/>
          </w:tcPr>
          <w:p w14:paraId="66ACD434" w14:textId="0B3DBF9C" w:rsidR="0064197D" w:rsidRDefault="00465650" w:rsidP="00360909">
            <w:pPr>
              <w:rPr>
                <w:rFonts w:eastAsiaTheme="minorEastAsia"/>
              </w:rPr>
            </w:pPr>
            <w:r>
              <w:rPr>
                <w:rFonts w:eastAsiaTheme="minorEastAsia"/>
              </w:rPr>
              <w:t>Either Option 4 or Option 2 (UE implementation) is fine for us.</w:t>
            </w:r>
          </w:p>
        </w:tc>
      </w:tr>
      <w:tr w:rsidR="00FF6F68" w14:paraId="23DA94D3" w14:textId="77777777" w:rsidTr="001C358F">
        <w:tc>
          <w:tcPr>
            <w:tcW w:w="1479" w:type="dxa"/>
          </w:tcPr>
          <w:p w14:paraId="44A80535" w14:textId="4AB9FF4C"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7CDCAE86" w14:textId="77777777" w:rsidR="00FF6F68" w:rsidRPr="00434B05" w:rsidRDefault="00FF6F68" w:rsidP="00360909">
            <w:pPr>
              <w:tabs>
                <w:tab w:val="left" w:pos="551"/>
              </w:tabs>
              <w:rPr>
                <w:rFonts w:eastAsiaTheme="minorEastAsia"/>
              </w:rPr>
            </w:pPr>
          </w:p>
        </w:tc>
        <w:tc>
          <w:tcPr>
            <w:tcW w:w="6780" w:type="dxa"/>
          </w:tcPr>
          <w:p w14:paraId="39203694" w14:textId="7844135E" w:rsidR="00FF6F68" w:rsidRDefault="00FF6F68" w:rsidP="00360909">
            <w:pPr>
              <w:rPr>
                <w:rFonts w:eastAsiaTheme="minorEastAsia"/>
              </w:rPr>
            </w:pPr>
            <w:r>
              <w:rPr>
                <w:rFonts w:eastAsiaTheme="minorEastAsia"/>
              </w:rPr>
              <w:t xml:space="preserve">We are fine with any for Opt.1/Opt.2/Opt.4. </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lastRenderedPageBreak/>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34D6218"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lastRenderedPageBreak/>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360909">
            <w:pPr>
              <w:rPr>
                <w:rFonts w:eastAsiaTheme="minorEastAsia"/>
              </w:rPr>
            </w:pPr>
            <w:r>
              <w:rPr>
                <w:rFonts w:eastAsiaTheme="minorEastAsia"/>
              </w:rPr>
              <w:t>Ericsson</w:t>
            </w:r>
          </w:p>
        </w:tc>
        <w:tc>
          <w:tcPr>
            <w:tcW w:w="1372" w:type="dxa"/>
          </w:tcPr>
          <w:p w14:paraId="07B238E2" w14:textId="77777777" w:rsidR="001C358F" w:rsidRPr="00434B05" w:rsidRDefault="001C358F" w:rsidP="00360909">
            <w:pPr>
              <w:tabs>
                <w:tab w:val="left" w:pos="551"/>
              </w:tabs>
              <w:rPr>
                <w:lang w:eastAsia="ko-KR"/>
              </w:rPr>
            </w:pPr>
          </w:p>
        </w:tc>
        <w:tc>
          <w:tcPr>
            <w:tcW w:w="6780" w:type="dxa"/>
          </w:tcPr>
          <w:p w14:paraId="5B3CE89A" w14:textId="77777777" w:rsidR="001C358F" w:rsidRDefault="001C358F" w:rsidP="00360909">
            <w:pPr>
              <w:rPr>
                <w:rFonts w:eastAsiaTheme="minorEastAsia"/>
              </w:rPr>
            </w:pPr>
            <w:r>
              <w:rPr>
                <w:rFonts w:eastAsiaTheme="minorEastAsia"/>
              </w:rPr>
              <w:t>Okay to wait.</w:t>
            </w:r>
          </w:p>
        </w:tc>
      </w:tr>
      <w:tr w:rsidR="00176F0B" w14:paraId="5282A9A0" w14:textId="77777777" w:rsidTr="001C358F">
        <w:tc>
          <w:tcPr>
            <w:tcW w:w="1479" w:type="dxa"/>
          </w:tcPr>
          <w:p w14:paraId="1D237D88" w14:textId="0923C9E4" w:rsidR="00176F0B" w:rsidRDefault="00176F0B" w:rsidP="00360909">
            <w:pPr>
              <w:rPr>
                <w:rFonts w:eastAsiaTheme="minorEastAsia"/>
              </w:rPr>
            </w:pPr>
            <w:r>
              <w:rPr>
                <w:rFonts w:eastAsiaTheme="minorEastAsia"/>
              </w:rPr>
              <w:t>Qualcomm</w:t>
            </w:r>
          </w:p>
        </w:tc>
        <w:tc>
          <w:tcPr>
            <w:tcW w:w="1372" w:type="dxa"/>
          </w:tcPr>
          <w:p w14:paraId="7593799C" w14:textId="77777777" w:rsidR="00176F0B" w:rsidRPr="00434B05" w:rsidRDefault="00176F0B" w:rsidP="00360909">
            <w:pPr>
              <w:tabs>
                <w:tab w:val="left" w:pos="551"/>
              </w:tabs>
              <w:rPr>
                <w:lang w:eastAsia="ko-KR"/>
              </w:rPr>
            </w:pPr>
          </w:p>
        </w:tc>
        <w:tc>
          <w:tcPr>
            <w:tcW w:w="6780" w:type="dxa"/>
          </w:tcPr>
          <w:p w14:paraId="35AD4025" w14:textId="18076BD5" w:rsidR="00176F0B" w:rsidRDefault="00176F0B" w:rsidP="00360909">
            <w:pPr>
              <w:rPr>
                <w:rFonts w:eastAsiaTheme="minorEastAsia"/>
              </w:rPr>
            </w:pPr>
            <w:r>
              <w:rPr>
                <w:rFonts w:eastAsiaTheme="minorEastAsia"/>
              </w:rPr>
              <w:t xml:space="preserve">Ok to support Option 2 (UE implementation) </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2BFD8F6A"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w:t>
      </w:r>
      <w:proofErr w:type="spellStart"/>
      <w:r w:rsidRPr="00DE384E">
        <w:rPr>
          <w:rFonts w:ascii="Times New Roman" w:hAnsi="Times New Roman" w:cs="Times New Roman"/>
          <w:sz w:val="20"/>
          <w:szCs w:val="20"/>
        </w:rPr>
        <w:t>specified</w:t>
      </w:r>
      <w:proofErr w:type="spellEnd"/>
      <w:r w:rsidRPr="00DE384E">
        <w:rPr>
          <w:rFonts w:ascii="Times New Roman" w:hAnsi="Times New Roman" w:cs="Times New Roman"/>
          <w:sz w:val="20"/>
          <w:szCs w:val="20"/>
        </w:rPr>
        <w:t xml:space="preserve"> for HD-FDD </w:t>
      </w:r>
      <w:proofErr w:type="spellStart"/>
      <w:r w:rsidRPr="00DE384E">
        <w:rPr>
          <w:rFonts w:ascii="Times New Roman" w:hAnsi="Times New Roman" w:cs="Times New Roman"/>
          <w:sz w:val="20"/>
          <w:szCs w:val="20"/>
        </w:rPr>
        <w:t>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w:t>
      </w:r>
      <w:proofErr w:type="spellEnd"/>
      <w:r w:rsidRPr="00DE384E">
        <w:rPr>
          <w:rFonts w:ascii="Times New Roman" w:hAnsi="Times New Roman" w:cs="Times New Roman"/>
          <w:sz w:val="20"/>
          <w:szCs w:val="20"/>
        </w:rPr>
        <w:t xml:space="preserve">, it </w:t>
      </w:r>
      <w:proofErr w:type="spellStart"/>
      <w:r w:rsidRPr="00DE384E">
        <w:rPr>
          <w:rFonts w:ascii="Times New Roman" w:hAnsi="Times New Roman" w:cs="Times New Roman"/>
          <w:sz w:val="20"/>
          <w:szCs w:val="20"/>
        </w:rPr>
        <w:t>can</w:t>
      </w:r>
      <w:proofErr w:type="spellEnd"/>
      <w:r w:rsidRPr="00DE384E">
        <w:rPr>
          <w:rFonts w:ascii="Times New Roman" w:hAnsi="Times New Roman" w:cs="Times New Roman"/>
          <w:sz w:val="20"/>
          <w:szCs w:val="20"/>
        </w:rPr>
        <w:t xml:space="preserve">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lastRenderedPageBreak/>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23465B99"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lastRenderedPageBreak/>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49A93D3E"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 xml:space="preserve">FFS: the value of </w:t>
            </w:r>
            <w:proofErr w:type="spellStart"/>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proofErr w:type="spellEnd"/>
            <w:r w:rsidRPr="00434B05">
              <w:rPr>
                <w:rFonts w:ascii="Times New Roman" w:hAnsi="Times New Roman" w:cs="Times New Roman"/>
                <w:sz w:val="20"/>
                <w:szCs w:val="20"/>
              </w:rPr>
              <w:t xml:space="preserve"> for HD-FDD </w:t>
            </w:r>
            <w:proofErr w:type="spellStart"/>
            <w:r w:rsidRPr="00434B05">
              <w:rPr>
                <w:rFonts w:ascii="Times New Roman" w:hAnsi="Times New Roman" w:cs="Times New Roman"/>
                <w:sz w:val="20"/>
                <w:szCs w:val="20"/>
              </w:rPr>
              <w:t>U</w:t>
            </w:r>
            <w:r w:rsidR="00FF6F68">
              <w:rPr>
                <w:rFonts w:ascii="Times New Roman" w:hAnsi="Times New Roman" w:cs="Times New Roman"/>
                <w:sz w:val="20"/>
                <w:szCs w:val="20"/>
              </w:rPr>
              <w:t>e</w:t>
            </w:r>
            <w:r w:rsidRPr="00434B05">
              <w:rPr>
                <w:rFonts w:ascii="Times New Roman" w:hAnsi="Times New Roman" w:cs="Times New Roman"/>
                <w:sz w:val="20"/>
                <w:szCs w:val="20"/>
              </w:rPr>
              <w:t>s</w:t>
            </w:r>
            <w:proofErr w:type="spellEnd"/>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2005B9BA" w14:textId="77777777" w:rsidTr="001C358F">
        <w:tc>
          <w:tcPr>
            <w:tcW w:w="1479" w:type="dxa"/>
          </w:tcPr>
          <w:p w14:paraId="3C806E9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360909">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360909">
            <w:pPr>
              <w:rPr>
                <w:rFonts w:eastAsiaTheme="minorEastAsia"/>
              </w:rPr>
            </w:pPr>
          </w:p>
        </w:tc>
      </w:tr>
      <w:tr w:rsidR="003257A4" w:rsidRPr="00434B05" w14:paraId="226BC81B" w14:textId="77777777" w:rsidTr="001C358F">
        <w:tc>
          <w:tcPr>
            <w:tcW w:w="1479" w:type="dxa"/>
          </w:tcPr>
          <w:p w14:paraId="0C630D02" w14:textId="6C8E06D6" w:rsidR="003257A4" w:rsidRDefault="003257A4" w:rsidP="00360909">
            <w:pPr>
              <w:rPr>
                <w:rFonts w:eastAsiaTheme="minorEastAsia"/>
                <w:lang w:eastAsia="zh-CN"/>
              </w:rPr>
            </w:pPr>
            <w:r>
              <w:rPr>
                <w:rFonts w:eastAsiaTheme="minorEastAsia"/>
                <w:lang w:eastAsia="zh-CN"/>
              </w:rPr>
              <w:t>Qualcomm</w:t>
            </w:r>
          </w:p>
        </w:tc>
        <w:tc>
          <w:tcPr>
            <w:tcW w:w="1372" w:type="dxa"/>
          </w:tcPr>
          <w:p w14:paraId="4EF6B2C2" w14:textId="1FA939F4" w:rsidR="003257A4" w:rsidRDefault="003257A4" w:rsidP="00360909">
            <w:pPr>
              <w:tabs>
                <w:tab w:val="left" w:pos="551"/>
              </w:tabs>
              <w:rPr>
                <w:rFonts w:eastAsiaTheme="minorEastAsia"/>
              </w:rPr>
            </w:pPr>
            <w:r>
              <w:rPr>
                <w:rFonts w:eastAsiaTheme="minorEastAsia"/>
              </w:rPr>
              <w:t>Y</w:t>
            </w:r>
          </w:p>
        </w:tc>
        <w:tc>
          <w:tcPr>
            <w:tcW w:w="6780" w:type="dxa"/>
          </w:tcPr>
          <w:p w14:paraId="69349CAF" w14:textId="77777777" w:rsidR="003257A4" w:rsidRPr="00434B05" w:rsidRDefault="003257A4" w:rsidP="00360909">
            <w:pPr>
              <w:rPr>
                <w:rFonts w:eastAsiaTheme="minorEastAsia"/>
              </w:rPr>
            </w:pPr>
          </w:p>
        </w:tc>
      </w:tr>
      <w:tr w:rsidR="00FF6F68" w:rsidRPr="00434B05" w14:paraId="33238081" w14:textId="77777777" w:rsidTr="001C358F">
        <w:tc>
          <w:tcPr>
            <w:tcW w:w="1479" w:type="dxa"/>
          </w:tcPr>
          <w:p w14:paraId="7D215D15" w14:textId="745BC670"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3FCEC83" w14:textId="7FD89CA9" w:rsidR="00FF6F68" w:rsidRDefault="00FF6F68" w:rsidP="00360909">
            <w:pPr>
              <w:tabs>
                <w:tab w:val="left" w:pos="551"/>
              </w:tabs>
              <w:rPr>
                <w:rFonts w:eastAsiaTheme="minorEastAsia"/>
              </w:rPr>
            </w:pPr>
            <w:r>
              <w:rPr>
                <w:rFonts w:eastAsiaTheme="minorEastAsia"/>
              </w:rPr>
              <w:t>Y</w:t>
            </w:r>
          </w:p>
        </w:tc>
        <w:tc>
          <w:tcPr>
            <w:tcW w:w="6780" w:type="dxa"/>
          </w:tcPr>
          <w:p w14:paraId="190A1710" w14:textId="77777777" w:rsidR="00FF6F68" w:rsidRPr="00434B05" w:rsidRDefault="00FF6F68" w:rsidP="00360909">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 xml:space="preserve">and SRS, if only the overlapped SRS symbols are cancelled, the gap between SSB and remaining SRS symbol </w:t>
            </w:r>
            <w:r w:rsidRPr="00DE384E">
              <w:rPr>
                <w:lang w:eastAsia="ko-KR"/>
              </w:rPr>
              <w:lastRenderedPageBreak/>
              <w:t>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lastRenderedPageBreak/>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lastRenderedPageBreak/>
              <w:t xml:space="preserve"> </w:t>
            </w:r>
          </w:p>
        </w:tc>
      </w:tr>
      <w:tr w:rsidR="001C358F" w14:paraId="0A11400F" w14:textId="77777777" w:rsidTr="001C358F">
        <w:tc>
          <w:tcPr>
            <w:tcW w:w="1479" w:type="dxa"/>
          </w:tcPr>
          <w:p w14:paraId="2C68C821"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AD26391" w14:textId="77777777" w:rsidR="001C358F" w:rsidRDefault="001C358F" w:rsidP="00360909">
            <w:pPr>
              <w:tabs>
                <w:tab w:val="left" w:pos="551"/>
              </w:tabs>
              <w:rPr>
                <w:rFonts w:eastAsiaTheme="minorEastAsia"/>
              </w:rPr>
            </w:pPr>
          </w:p>
        </w:tc>
        <w:tc>
          <w:tcPr>
            <w:tcW w:w="6780" w:type="dxa"/>
          </w:tcPr>
          <w:p w14:paraId="044299C1"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0C2222" w14:paraId="01915E50" w14:textId="77777777" w:rsidTr="001C358F">
        <w:tc>
          <w:tcPr>
            <w:tcW w:w="1479" w:type="dxa"/>
          </w:tcPr>
          <w:p w14:paraId="16DE0DBA" w14:textId="7FB14916" w:rsidR="000C2222" w:rsidRDefault="000C2222" w:rsidP="00360909">
            <w:pPr>
              <w:rPr>
                <w:rFonts w:eastAsiaTheme="minorEastAsia"/>
                <w:lang w:eastAsia="zh-CN"/>
              </w:rPr>
            </w:pPr>
          </w:p>
        </w:tc>
        <w:tc>
          <w:tcPr>
            <w:tcW w:w="1372" w:type="dxa"/>
          </w:tcPr>
          <w:p w14:paraId="5FC147EC" w14:textId="77777777" w:rsidR="000C2222" w:rsidRDefault="000C2222" w:rsidP="00360909">
            <w:pPr>
              <w:tabs>
                <w:tab w:val="left" w:pos="551"/>
              </w:tabs>
              <w:rPr>
                <w:rFonts w:eastAsiaTheme="minorEastAsia"/>
              </w:rPr>
            </w:pPr>
          </w:p>
        </w:tc>
        <w:tc>
          <w:tcPr>
            <w:tcW w:w="6780" w:type="dxa"/>
          </w:tcPr>
          <w:p w14:paraId="14F12126" w14:textId="553F7D28" w:rsidR="000C2222" w:rsidRDefault="000C2222" w:rsidP="00360909">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lastRenderedPageBreak/>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613E06">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613E06">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613E06">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613E06">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613E06">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613E06">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613E06">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613E06">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613E06">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613E06">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613E06">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613E06">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613E06">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613E06">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613E06">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613E06">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613E06">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613E06">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613E06">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lastRenderedPageBreak/>
              <w:t>[20]</w:t>
            </w:r>
          </w:p>
        </w:tc>
        <w:tc>
          <w:tcPr>
            <w:tcW w:w="1456" w:type="dxa"/>
            <w:tcMar>
              <w:top w:w="0" w:type="dxa"/>
              <w:left w:w="70" w:type="dxa"/>
              <w:bottom w:w="0" w:type="dxa"/>
              <w:right w:w="70" w:type="dxa"/>
            </w:tcMar>
          </w:tcPr>
          <w:p w14:paraId="23EAB523" w14:textId="77777777" w:rsidR="00F42295" w:rsidRPr="00DE384E" w:rsidRDefault="00613E06">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613E06">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613E06">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613E06">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613E06">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613E06">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613E06">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613E06">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A05F" w14:textId="77777777" w:rsidR="00613E06" w:rsidRDefault="00613E06" w:rsidP="001258AA">
      <w:pPr>
        <w:spacing w:after="0" w:line="240" w:lineRule="auto"/>
      </w:pPr>
      <w:r>
        <w:separator/>
      </w:r>
    </w:p>
  </w:endnote>
  <w:endnote w:type="continuationSeparator" w:id="0">
    <w:p w14:paraId="274BEA30" w14:textId="77777777" w:rsidR="00613E06" w:rsidRDefault="00613E06"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A7F5" w14:textId="77777777" w:rsidR="00613E06" w:rsidRDefault="00613E06" w:rsidP="001258AA">
      <w:pPr>
        <w:spacing w:after="0" w:line="240" w:lineRule="auto"/>
      </w:pPr>
      <w:r>
        <w:separator/>
      </w:r>
    </w:p>
  </w:footnote>
  <w:footnote w:type="continuationSeparator" w:id="0">
    <w:p w14:paraId="4B3FCED8" w14:textId="77777777" w:rsidR="00613E06" w:rsidRDefault="00613E06"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16243</Words>
  <Characters>92588</Characters>
  <Application>Microsoft Office Word</Application>
  <DocSecurity>0</DocSecurity>
  <Lines>771</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2</cp:revision>
  <cp:lastPrinted>2021-08-16T05:13:00Z</cp:lastPrinted>
  <dcterms:created xsi:type="dcterms:W3CDTF">2021-08-17T22:30:00Z</dcterms:created>
  <dcterms:modified xsi:type="dcterms:W3CDTF">2021-08-17T22:30:00Z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