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r w:rsidRPr="00DD2087">
              <w:rPr>
                <w:rFonts w:eastAsiaTheme="minorEastAsia"/>
                <w:lang w:val="en-US" w:eastAsia="zh-CN"/>
              </w:rPr>
              <w:t>So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If the initial DL BWP is separately configured and can be used by all RedCap UEs after initial access, it has to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After removing FFS this is what we have at the moment</w:t>
            </w:r>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But we are wondering what is the relationship with the previous WA:</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If the initial DL BWP separately configured for RedCap UEs can be used during initial access, it has to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to combine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Paging</w:t>
            </w:r>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 update</w:t>
            </w:r>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 xml:space="preserve">Based on configuration, the separate initial DL BWP can either contain CORESET#0, or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r w:rsidRPr="00DD2087">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2.2-3a</w:t>
            </w:r>
            <w:r w:rsidRPr="00DD2087">
              <w:rPr>
                <w:rFonts w:eastAsiaTheme="minorEastAsia"/>
                <w:highlight w:val="yellow"/>
                <w:lang w:val="en-US" w:eastAsia="zh-CN"/>
              </w:rPr>
              <w:t xml:space="preserve"> :</w:t>
            </w:r>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w:t>
            </w:r>
            <w:proofErr w:type="spellStart"/>
            <w:r w:rsidRPr="00DD2087">
              <w:rPr>
                <w:rFonts w:eastAsiaTheme="minorEastAsia"/>
                <w:lang w:val="en-US" w:eastAsia="zh-CN"/>
              </w:rPr>
              <w:t>gNB</w:t>
            </w:r>
            <w:proofErr w:type="spellEnd"/>
            <w:r w:rsidRPr="00DD2087">
              <w:rPr>
                <w:rFonts w:eastAsiaTheme="minorEastAsia"/>
                <w:lang w:val="en-US" w:eastAsia="zh-CN"/>
              </w:rPr>
              <w:t xml:space="preserve">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r w:rsidRPr="00DD2087">
              <w:rPr>
                <w:rFonts w:ascii="Times New Roman" w:eastAsiaTheme="minorEastAsia" w:hAnsi="Times New Roman" w:cs="Times New Roman"/>
                <w:sz w:val="20"/>
                <w:szCs w:val="20"/>
                <w:lang w:eastAsia="zh-CN"/>
              </w:rPr>
              <w:t xml:space="preserve">Maybe some clarification from FL would be needed.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r w:rsidRPr="00DD2087">
              <w:rPr>
                <w:rFonts w:eastAsia="SimSun"/>
                <w:lang w:val="en-US" w:eastAsia="zh-CN"/>
              </w:rPr>
              <w:t xml:space="preserve">Thanks FL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2.2-6c, or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has to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do, but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r w:rsidRPr="00DD2087">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Here the fact is that,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SIBs can be transmit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It should not be difficult to draw a conclusion, as long as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r w:rsidRPr="00DD2087">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If companies have concerns, it can be discuss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r w:rsidRPr="00DD2087">
              <w:rPr>
                <w:rFonts w:eastAsia="SimSun"/>
                <w:lang w:val="en-US" w:eastAsia="zh-CN"/>
              </w:rPr>
              <w:t>If  Proposal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The benefits for traffic  offloading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r w:rsidRPr="00DD2087">
              <w:rPr>
                <w:lang w:val="en-US" w:eastAsia="ko-KR"/>
              </w:rPr>
              <w:t>Base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MIB, and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follows .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the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r w:rsidRPr="00DD2087">
              <w:rPr>
                <w:b/>
                <w:color w:val="4472C4" w:themeColor="accent1"/>
                <w:lang w:val="en-US"/>
              </w:rPr>
              <w:t>does not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“may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xml:space="preserve">: If a separate initial DL BWP for RedCap UEs  </w:t>
            </w:r>
            <w:r w:rsidRPr="00DD2087">
              <w:rPr>
                <w:b/>
                <w:color w:val="FF0000"/>
                <w:lang w:val="en-US"/>
              </w:rPr>
              <w:t xml:space="preserve"> </w:t>
            </w:r>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issue, and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r w:rsidRPr="00DD2087">
              <w:rPr>
                <w:highlight w:val="green"/>
              </w:rPr>
              <w:t>Agreement</w:t>
            </w:r>
            <w:r w:rsidRPr="00DD2087">
              <w:t>:Take</w:t>
            </w:r>
            <w:proofErr w:type="spell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Though SIB transmission may also be important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“If….supported”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r w:rsidRPr="00DD2087">
              <w:rPr>
                <w:rFonts w:eastAsia="Malgun Gothic"/>
                <w:lang w:val="en-US" w:eastAsia="ko-KR"/>
              </w:rPr>
              <w:t>But,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which can be used during initial access and after initial access;</w:t>
            </w:r>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r w:rsidRPr="00DD2087">
              <w:rPr>
                <w:rFonts w:ascii="Times New Roman" w:hAnsi="Times New Roman" w:cs="Times New Roman"/>
                <w:b/>
                <w:color w:val="00B0F0"/>
                <w:sz w:val="20"/>
                <w:szCs w:val="20"/>
                <w:u w:val="single"/>
                <w:lang w:val="en-US"/>
              </w:rPr>
              <w:t>, if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r w:rsidRPr="00DD2087">
              <w:rPr>
                <w:rFonts w:eastAsiaTheme="minorEastAsia"/>
                <w:lang w:val="en-US" w:eastAsia="zh-CN"/>
              </w:rPr>
              <w:t>Firstly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Ericsson‘s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Thank you FL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"for RACH" should be changed to "for random access procedure" as random access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 to be used during initial access and after initial access;</w:t>
            </w:r>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taken into account,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avoid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of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agreed that </w:t>
            </w:r>
            <w:r w:rsidRPr="00DD2087">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r w:rsidRPr="00DD2087">
              <w:rPr>
                <w:rFonts w:eastAsiaTheme="minorEastAsia"/>
                <w:lang w:val="en-US" w:eastAsia="zh-CN"/>
              </w:rPr>
              <w:t>Spreadtrum</w:t>
            </w:r>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We suggest to go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w:t>
            </w:r>
            <w:proofErr w:type="spellStart"/>
            <w:r w:rsidRPr="00DD2087">
              <w:rPr>
                <w:rFonts w:eastAsiaTheme="minorEastAsia"/>
                <w:lang w:val="en-US" w:eastAsia="zh-CN"/>
              </w:rPr>
              <w:t>eMBB</w:t>
            </w:r>
            <w:proofErr w:type="spellEnd"/>
            <w:r w:rsidRPr="00DD2087">
              <w:rPr>
                <w:rFonts w:eastAsiaTheme="minorEastAsia"/>
                <w:lang w:val="en-US" w:eastAsia="zh-CN"/>
              </w:rPr>
              <w:t xml:space="preserve">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It may means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Generally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We are fine if the FFS on option 2 is deleted,  or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r w:rsidRPr="00DD2087">
              <w:rPr>
                <w:rFonts w:eastAsiaTheme="minorEastAsia"/>
                <w:lang w:val="en-US" w:eastAsia="zh-CN"/>
              </w:rPr>
              <w:t>a</w:t>
            </w:r>
            <w:proofErr w:type="spell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r w:rsidRPr="00DD2087">
              <w:rPr>
                <w:rFonts w:eastAsiaTheme="minorEastAsia"/>
                <w:lang w:val="en-US" w:eastAsia="zh-CN"/>
              </w:rPr>
              <w:t>Thanks FL for the updated proposal. We would suggest to address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together as vivo suggested,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r w:rsidRPr="00DD2087">
              <w:rPr>
                <w:rFonts w:eastAsiaTheme="minorEastAsia"/>
                <w:lang w:val="en-US" w:eastAsia="zh-CN"/>
              </w:rPr>
              <w:t>Thanks FL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As long as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r w:rsidRPr="00DD2087">
              <w:rPr>
                <w:rFonts w:eastAsiaTheme="minorEastAsia"/>
                <w:lang w:val="en-US" w:eastAsia="zh-CN"/>
              </w:rPr>
              <w:t xml:space="preserve">Basically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If UE supports 6-1a, then gNB may configure dedicated SSB-less  BWP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(i.e.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need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SSB, and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/inactive mode</w:t>
            </w:r>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/inactive mode</w:t>
            </w:r>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Connected mode</w:t>
            </w:r>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r w:rsidRPr="00DD2087">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r w:rsidRPr="00DD2087">
              <w:rPr>
                <w:rFonts w:eastAsia="Malgun Gothic"/>
                <w:lang w:val="en-US" w:eastAsia="ko-KR"/>
              </w:rPr>
              <w:t>Spreadtrum</w:t>
            </w:r>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(i.e.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CSS’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(i.e.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"for RACH" should be changed to "for random access procedure" as random access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w:t>
            </w:r>
            <w:r w:rsidRPr="00DD2087">
              <w:rPr>
                <w:rFonts w:ascii="Times New Roman" w:eastAsiaTheme="minorEastAsia" w:hAnsi="Times New Roman" w:cs="Times New Roman"/>
                <w:sz w:val="20"/>
                <w:szCs w:val="20"/>
                <w:lang w:eastAsia="zh-CN"/>
              </w:rPr>
              <w:lastRenderedPageBreak/>
              <w:t xml:space="preserve">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In legacy, the non-cell defined additional SSB is not mandated either.</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r w:rsidRPr="00DD2087">
              <w:rPr>
                <w:lang w:val="en-US" w:eastAsia="ko-KR"/>
              </w:rPr>
              <w:t>non CD</w:t>
            </w:r>
            <w:proofErr w:type="spell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r w:rsidRPr="00DD2087">
              <w:rPr>
                <w:lang w:val="en-US" w:eastAsia="ko-KR"/>
              </w:rPr>
              <w:t>Generally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It is not urgent/concerned for RACH capacity in UL or RAR monitoring in DL in order to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  as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r w:rsidRPr="00DD2087">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separate initial DL BWP actually have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r w:rsidRPr="00DD2087">
              <w:rPr>
                <w:lang w:val="en-US" w:eastAsia="ko-KR"/>
              </w:rPr>
              <w:t>Generally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r w:rsidRPr="00DD2087">
              <w:rPr>
                <w:rFonts w:eastAsia="Yu Mincho"/>
                <w:lang w:val="en-US" w:eastAsia="ja-JP"/>
              </w:rPr>
              <w:t>Spreadtrum</w:t>
            </w:r>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2.The same comment as for question  2.2-6g.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has to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r w:rsidRPr="00463649">
              <w:rPr>
                <w:rFonts w:eastAsia="Yu Mincho"/>
                <w:lang w:val="en-US" w:eastAsia="ja-JP"/>
              </w:rPr>
              <w:t>Spreadtrum</w:t>
            </w:r>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similar to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necessary, but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proofErr w:type="spellStart"/>
            <w:r w:rsidRPr="00DD2087">
              <w:rPr>
                <w:rFonts w:ascii="Times New Roman" w:hAnsi="Times New Roman" w:cs="Times New Roman"/>
                <w:sz w:val="20"/>
                <w:szCs w:val="20"/>
                <w:lang w:val="en-US" w:eastAsia="ko-KR"/>
              </w:rPr>
              <w:t>gNB</w:t>
            </w:r>
            <w:proofErr w:type="spellEnd"/>
            <w:r w:rsidRPr="00DD2087">
              <w:rPr>
                <w:rFonts w:ascii="Times New Roman" w:hAnsi="Times New Roman" w:cs="Times New Roman"/>
                <w:sz w:val="20"/>
                <w:szCs w:val="20"/>
                <w:lang w:val="en-US" w:eastAsia="ko-KR"/>
              </w:rPr>
              <w:t xml:space="preserve">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offloading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cell-defining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For the RedCap case, if the requirement of ‘containing CORESET#0’ can be relaxed for both BWP#0 configuration options 1 and 2, seems no any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not support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r w:rsidRPr="00DD2087">
              <w:rPr>
                <w:rFonts w:eastAsiaTheme="minorEastAsia"/>
                <w:lang w:val="en-US" w:eastAsia="zh-CN"/>
              </w:rPr>
              <w:t>Spreadtrum</w:t>
            </w:r>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Depends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random access, including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If the separate initial DL BWP is only configured for random access, then the UE cannot expect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UEs is configured in FR1, it </w:t>
      </w:r>
      <w:r w:rsidR="00F43DF5" w:rsidRPr="00A9722C">
        <w:rPr>
          <w:rFonts w:ascii="Times New Roman" w:hAnsi="Times New Roman" w:cs="Times New Roman"/>
          <w:b/>
          <w:bCs/>
          <w:sz w:val="20"/>
          <w:szCs w:val="20"/>
        </w:rPr>
        <w:t>can be</w:t>
      </w:r>
      <w:r w:rsidRPr="00A9722C">
        <w:rPr>
          <w:rFonts w:ascii="Times New Roman" w:hAnsi="Times New Roman" w:cs="Times New Roman"/>
          <w:b/>
          <w:bCs/>
          <w:sz w:val="20"/>
          <w:szCs w:val="20"/>
        </w:rPr>
        <w:t xml:space="preserve"> configured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 xml:space="preserve">, including CORESET/CSS for </w:t>
      </w:r>
      <w:r w:rsidR="00F43DF5" w:rsidRPr="00A9722C">
        <w:rPr>
          <w:rFonts w:ascii="Times New Roman" w:hAnsi="Times New Roman" w:cs="Times New Roman"/>
          <w:b/>
          <w:bCs/>
          <w:sz w:val="20"/>
          <w:szCs w:val="20"/>
        </w:rPr>
        <w:t>paging</w:t>
      </w:r>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r w:rsidRPr="00A9722C">
        <w:rPr>
          <w:rFonts w:ascii="Times New Roman" w:hAnsi="Times New Roman" w:cs="Times New Roman"/>
          <w:b/>
          <w:bCs/>
          <w:sz w:val="20"/>
          <w:szCs w:val="20"/>
        </w:rPr>
        <w:t>paging</w:t>
      </w:r>
      <w:r w:rsidR="00C46D02" w:rsidRPr="00A9722C">
        <w:rPr>
          <w:rFonts w:ascii="Times New Roman" w:hAnsi="Times New Roman" w:cs="Times New Roman"/>
          <w:b/>
          <w:bCs/>
          <w:sz w:val="20"/>
          <w:szCs w:val="20"/>
        </w:rPr>
        <w:t xml:space="preserve">, then the UE </w:t>
      </w:r>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can</w:t>
      </w:r>
      <w:r w:rsidRPr="00A9722C">
        <w:rPr>
          <w:rFonts w:ascii="Times New Roman" w:hAnsi="Times New Roman" w:cs="Times New Roman"/>
          <w:b/>
          <w:bCs/>
          <w:sz w:val="20"/>
          <w:szCs w:val="20"/>
        </w:rPr>
        <w:t xml:space="preserve"> always / cannot]</w:t>
      </w:r>
      <w:r w:rsidR="00C46D02" w:rsidRPr="00A9722C">
        <w:rPr>
          <w:rFonts w:ascii="Times New Roman" w:hAnsi="Times New Roman" w:cs="Times New Roman"/>
          <w:b/>
          <w:bCs/>
          <w:sz w:val="20"/>
          <w:szCs w:val="20"/>
        </w:rPr>
        <w:t xml:space="preserve"> expect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sidR="003F16D2">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w:t>
      </w:r>
      <w:r w:rsidR="00657103">
        <w:rPr>
          <w:rFonts w:ascii="Times New Roman" w:hAnsi="Times New Roman" w:cs="Times New Roman"/>
          <w:b/>
          <w:bCs/>
          <w:sz w:val="20"/>
          <w:szCs w:val="20"/>
        </w:rPr>
        <w:t>then the UE cannot expect it to</w:t>
      </w:r>
      <w:r w:rsidR="00B27EA9">
        <w:rPr>
          <w:rFonts w:ascii="Times New Roman" w:hAnsi="Times New Roman" w:cs="Times New Roman"/>
          <w:b/>
          <w:bCs/>
          <w:sz w:val="20"/>
          <w:szCs w:val="20"/>
        </w:rPr>
        <w:t xml:space="preserve"> contain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r w:rsidR="00FE5CCD">
        <w:rPr>
          <w:rFonts w:ascii="Times New Roman" w:hAnsi="Times New Roman" w:cs="Times New Roman"/>
          <w:b/>
          <w:bCs/>
          <w:sz w:val="20"/>
          <w:szCs w:val="20"/>
        </w:rPr>
        <w:t>then the UE cannot expect it to contain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 xml:space="preserve">CORESET#0 or SIB1 to be within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FFS: Whether the UE can expect SSB transmission in the separate initial DL BWP when it is used in connected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Note: According to 38.331 Annex B</w:t>
      </w:r>
      <w:r w:rsidR="00E961D3">
        <w:rPr>
          <w:rFonts w:ascii="Times New Roman" w:hAnsi="Times New Roman" w:cs="Times New Roman"/>
          <w:b/>
          <w:bCs/>
          <w:sz w:val="20"/>
          <w:szCs w:val="20"/>
        </w:rPr>
        <w:t>.</w:t>
      </w:r>
      <w:r>
        <w:rPr>
          <w:rFonts w:ascii="Times New Roman" w:hAnsi="Times New Roman" w:cs="Times New Roman"/>
          <w:b/>
          <w:bCs/>
          <w:sz w:val="20"/>
          <w:szCs w:val="20"/>
        </w:rPr>
        <w:t>2, BWP#0 is considered to be an RRC-configured BWP in BWP#0 configuration option 2 but not in BWP#0 configuration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 including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w:t>
            </w:r>
            <w:r w:rsidRPr="00A9722C">
              <w:rPr>
                <w:rFonts w:ascii="Times New Roman" w:hAnsi="Times New Roman" w:cs="Times New Roman"/>
                <w:b/>
                <w:bCs/>
                <w:sz w:val="20"/>
                <w:szCs w:val="20"/>
              </w:rPr>
              <w:t>expect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Note: The network may or may not configure SSB in this case.</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paging in idle/inactive mode in separate initial DL BWP for RedCap UEs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paging, including CORESET/CSS for paging.</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For BWP#0 configuration option 1, w</w:t>
            </w:r>
            <w:r>
              <w:rPr>
                <w:rFonts w:ascii="Times New Roman" w:hAnsi="Times New Roman" w:cs="Times New Roman"/>
                <w:b/>
                <w:bCs/>
                <w:sz w:val="20"/>
                <w:szCs w:val="20"/>
              </w:rPr>
              <w:t>hether the UE can expect SSB transmission in the separate initial DL BWP when it is used in connected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Note: According to 38.331 Annex B.2, BWP#0 is considered to be an RRC-configured BWP in BWP#0 configuration option 2 but not in BWP#0 configuration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should still remain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w:t>
                  </w:r>
                  <w:r w:rsidRPr="00A33125">
                    <w:rPr>
                      <w:rFonts w:ascii="Helvetica" w:eastAsia="Times New Roman" w:hAnsi="Helvetica" w:cs="Helvetica"/>
                      <w:color w:val="000000"/>
                      <w:sz w:val="18"/>
                      <w:szCs w:val="18"/>
                      <w:lang w:val="en-US" w:eastAsia="fi-FI"/>
                    </w:rPr>
                    <w:lastRenderedPageBreak/>
                    <w:t xml:space="preserve">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(see TS 38.213 [13], clause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r>
              <w:rPr>
                <w:lang w:val="en-US" w:eastAsia="ko-KR"/>
              </w:rPr>
              <w:t>Thanks FL for the update.</w:t>
            </w:r>
          </w:p>
          <w:p w14:paraId="3649400C" w14:textId="298BA8E1" w:rsidR="0096361F" w:rsidRDefault="0096361F" w:rsidP="0096361F">
            <w:pPr>
              <w:rPr>
                <w:lang w:val="en-US" w:eastAsia="ko-KR"/>
              </w:rPr>
            </w:pPr>
            <w:r>
              <w:rPr>
                <w:lang w:val="en-US" w:eastAsia="ko-KR"/>
              </w:rPr>
              <w:t>First of all,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ListParagraph"/>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 xml:space="preserve">20 </w:t>
            </w:r>
            <w:proofErr w:type="spellStart"/>
            <w:r w:rsidRPr="00BA45A7">
              <w:rPr>
                <w:sz w:val="20"/>
                <w:szCs w:val="22"/>
                <w:lang w:val="en-US" w:eastAsia="ko-KR"/>
              </w:rPr>
              <w:t>ms</w:t>
            </w:r>
            <w:proofErr w:type="spellEnd"/>
            <w:r w:rsidRPr="00BA45A7">
              <w:rPr>
                <w:sz w:val="20"/>
                <w:szCs w:val="22"/>
                <w:lang w:val="en-US" w:eastAsia="ko-KR"/>
              </w:rPr>
              <w:t xml:space="preserve"> periodicity for SSB burst</w:t>
            </w:r>
          </w:p>
          <w:p w14:paraId="25BB4E7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 ?</w:t>
            </w:r>
          </w:p>
          <w:p w14:paraId="096BD66E" w14:textId="77777777" w:rsidR="0096361F" w:rsidRPr="00A810D0"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090DF66F" w14:textId="77777777"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77B3A3D6" w14:textId="2F28AD14"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w:t>
            </w:r>
            <w:r>
              <w:rPr>
                <w:rFonts w:ascii="Times New Roman" w:eastAsia="Batang" w:hAnsi="Times New Roman" w:cs="Times New Roman"/>
                <w:sz w:val="20"/>
                <w:szCs w:val="20"/>
                <w:lang w:val="en-US" w:eastAsia="ko-KR"/>
              </w:rPr>
              <w:lastRenderedPageBreak/>
              <w:t>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types,  and </w:t>
            </w:r>
          </w:p>
          <w:p w14:paraId="20A30B4A" w14:textId="6707461C" w:rsidR="0096361F" w:rsidRPr="00D62833" w:rsidRDefault="0096361F" w:rsidP="0096361F">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enable  traffic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ListParagraph"/>
              <w:numPr>
                <w:ilvl w:val="0"/>
                <w:numId w:val="119"/>
              </w:numPr>
              <w:rPr>
                <w:rFonts w:ascii="Times New Roman" w:hAnsi="Times New Roman" w:cs="Times New Roman"/>
                <w:b/>
                <w:bCs/>
                <w:sz w:val="20"/>
                <w:szCs w:val="20"/>
                <w:lang w:val="en-GB" w:eastAsia="en-US"/>
              </w:rPr>
            </w:pPr>
            <w:r w:rsidRPr="00A9722C">
              <w:rPr>
                <w:rFonts w:ascii="Times New Roman" w:hAnsi="Times New Roman" w:cs="Times New Roman"/>
                <w:b/>
                <w:bCs/>
                <w:sz w:val="20"/>
                <w:szCs w:val="20"/>
              </w:rPr>
              <w:t>Regarding random access in idle/inactive mode in separate initial DL BWP for RedCap UEs in FR1,</w:t>
            </w:r>
          </w:p>
          <w:p w14:paraId="3AA7A48B"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If a separate initial DL BWP for RedCap UEs is configured in FR1, it can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 including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and paging</w:t>
            </w:r>
            <w:r w:rsidRPr="00A9722C">
              <w:rPr>
                <w:rFonts w:ascii="Times New Roman" w:hAnsi="Times New Roman" w:cs="Times New Roman"/>
                <w:b/>
                <w:bCs/>
                <w:sz w:val="20"/>
                <w:szCs w:val="20"/>
              </w:rPr>
              <w:t>.</w:t>
            </w:r>
          </w:p>
          <w:p w14:paraId="4C60300D"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access and </w:t>
            </w:r>
            <w:r w:rsidRPr="00A9722C">
              <w:rPr>
                <w:rFonts w:ascii="Times New Roman" w:hAnsi="Times New Roman" w:cs="Times New Roman"/>
                <w:b/>
                <w:bCs/>
                <w:sz w:val="20"/>
                <w:szCs w:val="20"/>
              </w:rPr>
              <w:t xml:space="preserve">paging, then the UE </w:t>
            </w:r>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can always</w:t>
            </w:r>
            <w:r w:rsidRPr="008C7680">
              <w:rPr>
                <w:rFonts w:ascii="Times New Roman" w:hAnsi="Times New Roman" w:cs="Times New Roman"/>
                <w:b/>
                <w:bCs/>
                <w:strike/>
                <w:color w:val="FF0000"/>
                <w:sz w:val="20"/>
                <w:szCs w:val="20"/>
              </w:rPr>
              <w:t xml:space="preserve"> / cannot]</w:t>
            </w:r>
            <w:r w:rsidRPr="00A9722C">
              <w:rPr>
                <w:rFonts w:ascii="Times New Roman" w:hAnsi="Times New Roman" w:cs="Times New Roman"/>
                <w:b/>
                <w:bCs/>
                <w:sz w:val="20"/>
                <w:szCs w:val="20"/>
              </w:rPr>
              <w:t xml:space="preserve"> expect SSB transmission in the separate initial DL BWP.</w:t>
            </w:r>
          </w:p>
          <w:p w14:paraId="21204E79" w14:textId="77777777" w:rsidR="00210E30" w:rsidRPr="008C7680" w:rsidRDefault="00210E30" w:rsidP="00210E30">
            <w:pPr>
              <w:pStyle w:val="ListParagraph"/>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Note: The network may or may not configure SSB in this case.</w:t>
            </w:r>
          </w:p>
          <w:p w14:paraId="6F6F3313" w14:textId="77777777" w:rsidR="00210E30" w:rsidRPr="00A9722C" w:rsidRDefault="00210E30" w:rsidP="00210E30">
            <w:pPr>
              <w:pStyle w:val="ListParagraph"/>
              <w:numPr>
                <w:ilvl w:val="0"/>
                <w:numId w:val="119"/>
              </w:numPr>
              <w:rPr>
                <w:rFonts w:ascii="Times New Roman" w:hAnsi="Times New Roman" w:cs="Times New Roman"/>
                <w:b/>
                <w:bCs/>
                <w:sz w:val="20"/>
                <w:szCs w:val="20"/>
              </w:rPr>
            </w:pPr>
            <w:r w:rsidRPr="00A9722C">
              <w:rPr>
                <w:rFonts w:ascii="Times New Roman" w:hAnsi="Times New Roman" w:cs="Times New Roman"/>
                <w:b/>
                <w:bCs/>
                <w:sz w:val="20"/>
                <w:szCs w:val="20"/>
              </w:rPr>
              <w:t>Regarding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SIB1 in idle/inactive</w:t>
            </w:r>
            <w:r>
              <w:rPr>
                <w:rFonts w:ascii="Times New Roman" w:hAnsi="Times New Roman" w:cs="Times New Roman"/>
                <w:b/>
                <w:bCs/>
                <w:sz w:val="20"/>
                <w:szCs w:val="20"/>
              </w:rPr>
              <w:t>/connected</w:t>
            </w:r>
            <w:r w:rsidRPr="00A9722C">
              <w:rPr>
                <w:rFonts w:ascii="Times New Roman" w:hAnsi="Times New Roman" w:cs="Times New Roman"/>
                <w:b/>
                <w:bCs/>
                <w:sz w:val="20"/>
                <w:szCs w:val="20"/>
              </w:rPr>
              <w:t xml:space="preserve"> mode for RedCap UEs in FR1,</w:t>
            </w:r>
          </w:p>
          <w:p w14:paraId="180745CF"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UEs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6A0DCADF"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separate initial DL BWP.</w:t>
            </w:r>
          </w:p>
          <w:p w14:paraId="2E2CC174"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then the UE cannot </w:t>
            </w:r>
            <w:r w:rsidRPr="008C7680">
              <w:rPr>
                <w:rFonts w:ascii="Times New Roman" w:hAnsi="Times New Roman" w:cs="Times New Roman"/>
                <w:b/>
                <w:bCs/>
                <w:color w:val="FF0000"/>
                <w:sz w:val="20"/>
                <w:szCs w:val="20"/>
                <w:u w:val="single"/>
              </w:rPr>
              <w:t>always</w:t>
            </w:r>
            <w:r>
              <w:rPr>
                <w:rFonts w:ascii="Times New Roman" w:hAnsi="Times New Roman" w:cs="Times New Roman"/>
                <w:b/>
                <w:bCs/>
                <w:sz w:val="20"/>
                <w:szCs w:val="20"/>
              </w:rPr>
              <w:t xml:space="preserve"> expect it to contain MIB-configured CORESET#0 or SIB1.</w:t>
            </w:r>
          </w:p>
          <w:p w14:paraId="06063CF6"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network may or may not configure </w:t>
            </w:r>
            <w:r>
              <w:rPr>
                <w:rFonts w:ascii="Times New Roman" w:hAnsi="Times New Roman" w:cs="Times New Roman"/>
                <w:b/>
                <w:bCs/>
                <w:sz w:val="20"/>
                <w:szCs w:val="20"/>
              </w:rPr>
              <w:t>CORESET#0 or SIB1 to be within the RRC-configured DL BWP.</w:t>
            </w:r>
          </w:p>
          <w:p w14:paraId="385D5739" w14:textId="77777777" w:rsidR="00210E30" w:rsidRDefault="00210E30" w:rsidP="00210E30">
            <w:pPr>
              <w:pStyle w:val="ListParagraph"/>
              <w:numPr>
                <w:ilvl w:val="0"/>
                <w:numId w:val="119"/>
              </w:numPr>
              <w:rPr>
                <w:rFonts w:ascii="Times New Roman" w:hAnsi="Times New Roman" w:cs="Times New Roman"/>
                <w:b/>
                <w:bCs/>
                <w:sz w:val="20"/>
                <w:szCs w:val="20"/>
              </w:rPr>
            </w:pPr>
            <w:r w:rsidRPr="003F16D2">
              <w:rPr>
                <w:rFonts w:ascii="Times New Roman" w:hAnsi="Times New Roman" w:cs="Times New Roman"/>
                <w:b/>
                <w:bCs/>
                <w:sz w:val="20"/>
                <w:szCs w:val="20"/>
              </w:rPr>
              <w:t xml:space="preserve">Regarding connected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r w:rsidRPr="003F16D2">
              <w:rPr>
                <w:rFonts w:ascii="Times New Roman" w:hAnsi="Times New Roman" w:cs="Times New Roman"/>
                <w:b/>
                <w:bCs/>
                <w:sz w:val="20"/>
                <w:szCs w:val="20"/>
              </w:rPr>
              <w:t>active DL BWP for a RedCap UE in FR1</w:t>
            </w:r>
            <w:r>
              <w:rPr>
                <w:rFonts w:ascii="Times New Roman" w:hAnsi="Times New Roman" w:cs="Times New Roman"/>
                <w:b/>
                <w:bCs/>
                <w:sz w:val="20"/>
                <w:szCs w:val="20"/>
              </w:rPr>
              <w:t>,</w:t>
            </w:r>
          </w:p>
          <w:p w14:paraId="6FE805D6"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Whether the UE can expect SSB transmission in the RRC-configured active DL BWP depends on its UE capabilities (e.g., whether it supports FG 6-1a or only FG 6-1).</w:t>
            </w:r>
          </w:p>
          <w:p w14:paraId="3334E4AB" w14:textId="77777777" w:rsidR="00210E30"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A RedCap UE with basic features can always expect SSB transmisiosn in the RRC-configured DL BWP</w:t>
            </w:r>
          </w:p>
          <w:p w14:paraId="0F354CC4" w14:textId="77777777" w:rsidR="00210E30" w:rsidRPr="005B2B67"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of SSB less operation in the RRC configured DL BWP is optional </w:t>
            </w:r>
          </w:p>
          <w:p w14:paraId="0ACEAA1D" w14:textId="3ABE63A9" w:rsidR="00210E30" w:rsidRDefault="00210E30" w:rsidP="00210E30">
            <w:pPr>
              <w:pStyle w:val="ListParagraph"/>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For BWP#0 configuration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r>
              <w:rPr>
                <w:rFonts w:ascii="Times New Roman" w:hAnsi="Times New Roman" w:cs="Times New Roman"/>
                <w:b/>
                <w:bCs/>
                <w:sz w:val="20"/>
                <w:szCs w:val="20"/>
              </w:rPr>
              <w:t xml:space="preserve"> the UE can </w:t>
            </w:r>
            <w:r w:rsidRPr="00141A81">
              <w:rPr>
                <w:rFonts w:ascii="Times New Roman" w:hAnsi="Times New Roman" w:cs="Times New Roman"/>
                <w:b/>
                <w:bCs/>
                <w:color w:val="FF0000"/>
                <w:sz w:val="20"/>
                <w:szCs w:val="20"/>
              </w:rPr>
              <w:t>always</w:t>
            </w:r>
            <w:r>
              <w:rPr>
                <w:rFonts w:ascii="Times New Roman" w:hAnsi="Times New Roman" w:cs="Times New Roman"/>
                <w:b/>
                <w:bCs/>
                <w:sz w:val="20"/>
                <w:szCs w:val="20"/>
              </w:rPr>
              <w:t xml:space="preserve"> expect SSB transmission in the separate initial DL BWP when it is used in connected mode</w:t>
            </w:r>
          </w:p>
          <w:p w14:paraId="7EBDA2A5" w14:textId="19506B06" w:rsidR="0096361F" w:rsidRPr="00210E30" w:rsidRDefault="00210E30" w:rsidP="0096361F">
            <w:pPr>
              <w:pStyle w:val="ListParagraph"/>
              <w:numPr>
                <w:ilvl w:val="2"/>
                <w:numId w:val="119"/>
              </w:numPr>
              <w:rPr>
                <w:rFonts w:ascii="Times New Roman" w:hAnsi="Times New Roman" w:cs="Times New Roman"/>
                <w:b/>
                <w:bCs/>
                <w:sz w:val="20"/>
                <w:szCs w:val="20"/>
              </w:rPr>
            </w:pPr>
            <w:r>
              <w:rPr>
                <w:rFonts w:ascii="Times New Roman" w:hAnsi="Times New Roman" w:cs="Times New Roman"/>
                <w:b/>
                <w:bCs/>
                <w:sz w:val="20"/>
                <w:szCs w:val="20"/>
              </w:rPr>
              <w:lastRenderedPageBreak/>
              <w:t>Note: According to 38.331 Annex B.2, BWP#0 is considered to be an RRC-configured BWP in BWP#0 configuration option 2 but not in BWP#0 configuration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lastRenderedPageBreak/>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5B2B67">
        <w:tc>
          <w:tcPr>
            <w:tcW w:w="1479" w:type="dxa"/>
          </w:tcPr>
          <w:p w14:paraId="4EBC7A87" w14:textId="37B88968" w:rsidR="0015634E" w:rsidRDefault="0015634E" w:rsidP="0096361F">
            <w:pPr>
              <w:rPr>
                <w:lang w:val="en-US" w:eastAsia="ko-KR"/>
              </w:rPr>
            </w:pPr>
            <w:r>
              <w:rPr>
                <w:lang w:val="en-US" w:eastAsia="ko-KR"/>
              </w:rPr>
              <w:t xml:space="preserve">Apple </w:t>
            </w:r>
          </w:p>
        </w:tc>
        <w:tc>
          <w:tcPr>
            <w:tcW w:w="1372" w:type="dxa"/>
          </w:tcPr>
          <w:p w14:paraId="2FB56220" w14:textId="77777777" w:rsidR="0015634E" w:rsidRDefault="0015634E" w:rsidP="0096361F">
            <w:pPr>
              <w:tabs>
                <w:tab w:val="left" w:pos="551"/>
              </w:tabs>
              <w:rPr>
                <w:lang w:val="en-US" w:eastAsia="ko-KR"/>
              </w:rPr>
            </w:pPr>
          </w:p>
        </w:tc>
        <w:tc>
          <w:tcPr>
            <w:tcW w:w="6780"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3149A2">
            <w:pPr>
              <w:pStyle w:val="ListParagraph"/>
              <w:numPr>
                <w:ilvl w:val="0"/>
                <w:numId w:val="121"/>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15634E">
            <w:pPr>
              <w:pStyle w:val="ListParagraph"/>
              <w:numPr>
                <w:ilvl w:val="0"/>
                <w:numId w:val="12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1F0117">
            <w:pPr>
              <w:pStyle w:val="ListParagraph"/>
              <w:numPr>
                <w:ilvl w:val="0"/>
                <w:numId w:val="121"/>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15634E">
            <w:pPr>
              <w:pStyle w:val="ListParagraph"/>
              <w:numPr>
                <w:ilvl w:val="0"/>
                <w:numId w:val="121"/>
              </w:numPr>
              <w:rPr>
                <w:lang w:val="en-US" w:eastAsia="ko-KR"/>
              </w:rPr>
            </w:pPr>
            <w:r>
              <w:rPr>
                <w:lang w:val="en-US" w:eastAsia="ko-KR"/>
              </w:rPr>
              <w:t xml:space="preserve">Regarding the detailed proposals: </w:t>
            </w:r>
          </w:p>
          <w:p w14:paraId="76DD5730" w14:textId="206A2481" w:rsidR="003149A2" w:rsidRDefault="0015634E" w:rsidP="0015634E">
            <w:pPr>
              <w:pStyle w:val="ListParagraph"/>
              <w:numPr>
                <w:ilvl w:val="1"/>
                <w:numId w:val="121"/>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3149A2">
            <w:pPr>
              <w:pStyle w:val="ListParagraph"/>
              <w:numPr>
                <w:ilvl w:val="2"/>
                <w:numId w:val="121"/>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3149A2">
            <w:pPr>
              <w:pStyle w:val="ListParagraph"/>
              <w:numPr>
                <w:ilvl w:val="1"/>
                <w:numId w:val="121"/>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Pr>
                <w:lang w:val="en-US" w:eastAsia="ko-KR"/>
              </w:rPr>
              <w:t xml:space="preserve">, </w:t>
            </w:r>
          </w:p>
          <w:p w14:paraId="26E3ECD1" w14:textId="77777777" w:rsidR="003149A2" w:rsidRDefault="001F0117" w:rsidP="003149A2">
            <w:pPr>
              <w:pStyle w:val="ListParagraph"/>
              <w:numPr>
                <w:ilvl w:val="2"/>
                <w:numId w:val="121"/>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1F0117">
            <w:pPr>
              <w:pStyle w:val="ListParagraph"/>
              <w:numPr>
                <w:ilvl w:val="1"/>
                <w:numId w:val="121"/>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1F0117">
            <w:pPr>
              <w:pStyle w:val="ListParagraph"/>
              <w:numPr>
                <w:ilvl w:val="2"/>
                <w:numId w:val="121"/>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1F0117">
            <w:pPr>
              <w:pStyle w:val="ListParagraph"/>
              <w:numPr>
                <w:ilvl w:val="3"/>
                <w:numId w:val="121"/>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B07993">
            <w:pPr>
              <w:pStyle w:val="ListParagraph"/>
              <w:numPr>
                <w:ilvl w:val="3"/>
                <w:numId w:val="121"/>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FFS. According to the field testing </w:t>
            </w:r>
            <w:r w:rsidR="00B07993">
              <w:rPr>
                <w:lang w:val="en-US" w:eastAsia="ko-KR"/>
              </w:rPr>
              <w:lastRenderedPageBreak/>
              <w:t xml:space="preserve">finding, it is typical configuration i.e., BWP configuration option 1 and BWP #0 is used by network for BWP operation for RRC_CONNECTED UEs. The only difference between opt.1 and opt.2 is that </w:t>
            </w:r>
          </w:p>
          <w:p w14:paraId="77A0CE05" w14:textId="77777777" w:rsidR="00B07993" w:rsidRDefault="00B07993" w:rsidP="00B07993">
            <w:pPr>
              <w:pStyle w:val="ListParagraph"/>
              <w:numPr>
                <w:ilvl w:val="4"/>
                <w:numId w:val="121"/>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B07993">
            <w:pPr>
              <w:pStyle w:val="ListParagraph"/>
              <w:numPr>
                <w:ilvl w:val="4"/>
                <w:numId w:val="121"/>
              </w:numPr>
              <w:rPr>
                <w:lang w:val="en-US" w:eastAsia="ko-KR"/>
              </w:rPr>
            </w:pPr>
            <w:r>
              <w:rPr>
                <w:lang w:val="en-US" w:eastAsia="ko-KR"/>
              </w:rPr>
              <w:t xml:space="preserve">DCI-based BWP switching can be used for opt.2 to switch between initial DL BWP and other BWPs. </w:t>
            </w:r>
          </w:p>
        </w:tc>
      </w:tr>
      <w:tr w:rsidR="002C7654" w:rsidRPr="00DD2087" w14:paraId="57FCC322" w14:textId="77777777" w:rsidTr="005B2B67">
        <w:tc>
          <w:tcPr>
            <w:tcW w:w="1479" w:type="dxa"/>
          </w:tcPr>
          <w:p w14:paraId="56CCC196" w14:textId="6FAF8417" w:rsidR="002C7654" w:rsidRDefault="002C7654" w:rsidP="002C7654">
            <w:pPr>
              <w:rPr>
                <w:lang w:val="en-US" w:eastAsia="ko-KR"/>
              </w:rPr>
            </w:pPr>
            <w:r>
              <w:rPr>
                <w:lang w:val="en-US" w:eastAsia="ko-KR"/>
              </w:rPr>
              <w:lastRenderedPageBreak/>
              <w:t>Intel</w:t>
            </w:r>
          </w:p>
        </w:tc>
        <w:tc>
          <w:tcPr>
            <w:tcW w:w="1372" w:type="dxa"/>
          </w:tcPr>
          <w:p w14:paraId="082B87BD" w14:textId="3B6B618A" w:rsidR="002C7654" w:rsidRDefault="002C7654" w:rsidP="002C7654">
            <w:pPr>
              <w:tabs>
                <w:tab w:val="left" w:pos="551"/>
              </w:tabs>
              <w:rPr>
                <w:lang w:val="en-US" w:eastAsia="ko-KR"/>
              </w:rPr>
            </w:pPr>
            <w:r>
              <w:rPr>
                <w:lang w:val="en-US" w:eastAsia="ko-KR"/>
              </w:rPr>
              <w:t>Y (almost)</w:t>
            </w:r>
          </w:p>
        </w:tc>
        <w:tc>
          <w:tcPr>
            <w:tcW w:w="6780" w:type="dxa"/>
          </w:tcPr>
          <w:p w14:paraId="2189B64A" w14:textId="77777777" w:rsidR="002C7654" w:rsidRDefault="002C7654" w:rsidP="002C7654">
            <w:pPr>
              <w:rPr>
                <w:lang w:val="en-US" w:eastAsia="ko-KR"/>
              </w:rPr>
            </w:pPr>
            <w:r>
              <w:rPr>
                <w:lang w:val="en-US" w:eastAsia="ko-KR"/>
              </w:rPr>
              <w:t>We can accept this as a compromise, subject to the resolution to some clarification questions below.</w:t>
            </w:r>
          </w:p>
          <w:p w14:paraId="3B22EF7A" w14:textId="77777777" w:rsidR="002C7654" w:rsidRDefault="002C7654" w:rsidP="002C7654">
            <w:pPr>
              <w:rPr>
                <w:lang w:val="en-US" w:eastAsia="ko-KR"/>
              </w:rPr>
            </w:pPr>
            <w:r>
              <w:rPr>
                <w:lang w:val="en-US" w:eastAsia="ko-KR"/>
              </w:rPr>
              <w:t>One thing to clarify, currently in sets 1) and 2) of the bullets for idle/inactive modes, it says “</w:t>
            </w:r>
            <w:r w:rsidRPr="00A9722C">
              <w:rPr>
                <w:b/>
                <w:bCs/>
              </w:rPr>
              <w:t>it can be configured for</w:t>
            </w:r>
            <w:r>
              <w:rPr>
                <w:b/>
                <w:bCs/>
              </w:rPr>
              <w:t xml:space="preserve"> …</w:t>
            </w:r>
            <w:r>
              <w:rPr>
                <w:lang w:val="en-US" w:eastAsia="ko-KR"/>
              </w:rPr>
              <w:t>”. Does this imply that there can be a valid configuration whereby RedCap UE is provided with a separate initial DL BWP configuration but without any CORESET or CSS to monitor for PDCCH (and consequently PDSCH) reception?</w:t>
            </w:r>
          </w:p>
          <w:p w14:paraId="4649F6CF" w14:textId="77777777" w:rsidR="002C7654" w:rsidRDefault="002C7654" w:rsidP="002C7654">
            <w:pPr>
              <w:rPr>
                <w:lang w:val="en-US" w:eastAsia="ko-KR"/>
              </w:rPr>
            </w:pPr>
            <w:r>
              <w:rPr>
                <w:lang w:val="en-US" w:eastAsia="ko-KR"/>
              </w:rPr>
              <w:t xml:space="preserve">Also, similar to Nokia, we can accept the suggested changes from vivo to 1) and 3) but prefer to keep the FFS for 2). </w:t>
            </w:r>
          </w:p>
          <w:p w14:paraId="0903205A" w14:textId="1E8E34B9" w:rsidR="002C7654" w:rsidRDefault="002C7654" w:rsidP="002C7654">
            <w:pPr>
              <w:rPr>
                <w:lang w:val="en-US" w:eastAsia="ko-KR"/>
              </w:rPr>
            </w:pPr>
            <w:r>
              <w:rPr>
                <w:lang w:val="en-US" w:eastAsia="ko-KR"/>
              </w:rPr>
              <w:t>Lastly, for 3), is it correct understanding that the statement “</w:t>
            </w:r>
            <w:r>
              <w:rPr>
                <w:b/>
                <w:bCs/>
              </w:rPr>
              <w:t>Whether the UE can expect SSB transmission in the RRC-configured active DL BWP depends on its UE capabilities (e.g., whether it supports FG 6-1a or only FG 6-1)</w:t>
            </w:r>
            <w:r>
              <w:rPr>
                <w:lang w:val="en-US" w:eastAsia="ko-KR"/>
              </w:rPr>
              <w:t xml:space="preserve">” still does not say anything about whether FG 6-1a may be mandatory for RedCap UE or not, i.e., this remains an FFS item, or does it already imply that FG 6-1a is optional? We’d prefer the former. </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 xml:space="preserve">Several contributions support that an initial DL BWP for RedCap UEs can be optionally configured/defined separately from the initial DL BWP for non-RedCap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configured/defined separately from the initial DL BWP for non-RedCap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Suggest to add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lastRenderedPageBreak/>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 xml:space="preserve">Both during and after initial access, even for the scenario where the initial UL BWP for non-RedCap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2" w:name="_Hlk79677298"/>
      <w:r>
        <w:rPr>
          <w:rFonts w:ascii="Times" w:hAnsi="Times"/>
          <w:szCs w:val="24"/>
          <w:lang w:val="en-US"/>
        </w:rPr>
        <w:t xml:space="preserve">Regarding RO sharing, the </w:t>
      </w:r>
      <w:r>
        <w:rPr>
          <w:rFonts w:ascii="Times" w:hAnsi="Times"/>
          <w:szCs w:val="24"/>
          <w:lang w:val="en-US"/>
        </w:rPr>
        <w:lastRenderedPageBreak/>
        <w:t xml:space="preserve">FL’s understanding is that ROs can be fully or partially shared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 xml:space="preserve">Both during and after initial access, for the scenario where the initial UL BWP 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configured/defined for 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lastRenderedPageBreak/>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lastRenderedPageBreak/>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is able to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 xml:space="preserve">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lastRenderedPageBreak/>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lastRenderedPageBreak/>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lastRenderedPageBreak/>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ListParagraph"/>
              <w:numPr>
                <w:ilvl w:val="1"/>
                <w:numId w:val="13"/>
              </w:numPr>
              <w:rPr>
                <w:b/>
                <w:sz w:val="20"/>
                <w:szCs w:val="22"/>
                <w:lang w:val="en-GB"/>
              </w:rPr>
            </w:pPr>
            <w:r>
              <w:rPr>
                <w:b/>
                <w:sz w:val="20"/>
                <w:szCs w:val="22"/>
                <w:lang w:val="en-GB"/>
              </w:rPr>
              <w:lastRenderedPageBreak/>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lastRenderedPageBreak/>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 xml:space="preserve">First, the “infeasibility” for the following example from Ericsson is understandable only if aligning RedCap PUCCH at edge of the carrier is considered as a mandatory design option for the </w:t>
            </w:r>
            <w:proofErr w:type="spellStart"/>
            <w:r>
              <w:t>gNB</w:t>
            </w:r>
            <w:proofErr w:type="spellEnd"/>
            <w:r>
              <w:t>.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lastRenderedPageBreak/>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FFS whether or not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r w:rsidR="004A3A31" w14:paraId="031D3739" w14:textId="77777777" w:rsidTr="005B2B67">
        <w:tc>
          <w:tcPr>
            <w:tcW w:w="1472" w:type="dxa"/>
          </w:tcPr>
          <w:p w14:paraId="27E92F2C" w14:textId="52F32FF6" w:rsidR="004A3A31" w:rsidRDefault="004A3A31" w:rsidP="004A3A31">
            <w:pPr>
              <w:rPr>
                <w:rFonts w:eastAsiaTheme="minorEastAsia"/>
                <w:lang w:eastAsia="zh-CN"/>
              </w:rPr>
            </w:pPr>
            <w:r>
              <w:rPr>
                <w:rFonts w:eastAsiaTheme="minorEastAsia"/>
                <w:lang w:eastAsia="zh-CN"/>
              </w:rPr>
              <w:t>Intel</w:t>
            </w:r>
          </w:p>
        </w:tc>
        <w:tc>
          <w:tcPr>
            <w:tcW w:w="916" w:type="dxa"/>
          </w:tcPr>
          <w:p w14:paraId="37C36DBF" w14:textId="77777777" w:rsidR="004A3A31" w:rsidRDefault="004A3A31" w:rsidP="004A3A31">
            <w:pPr>
              <w:tabs>
                <w:tab w:val="left" w:pos="551"/>
              </w:tabs>
              <w:rPr>
                <w:rFonts w:eastAsiaTheme="minorEastAsia"/>
                <w:lang w:val="en-US" w:eastAsia="zh-CN"/>
              </w:rPr>
            </w:pPr>
          </w:p>
        </w:tc>
        <w:tc>
          <w:tcPr>
            <w:tcW w:w="7776" w:type="dxa"/>
          </w:tcPr>
          <w:p w14:paraId="5683D2BF" w14:textId="77777777" w:rsidR="004A3A31" w:rsidRDefault="004A3A31" w:rsidP="004A3A31">
            <w:pPr>
              <w:rPr>
                <w:rFonts w:eastAsiaTheme="minorEastAsia"/>
                <w:lang w:eastAsia="zh-CN"/>
              </w:rPr>
            </w:pPr>
            <w:r>
              <w:rPr>
                <w:rFonts w:eastAsiaTheme="minorEastAsia"/>
                <w:lang w:eastAsia="zh-CN"/>
              </w:rPr>
              <w:t xml:space="preserve">We suggest considering this proposal along with Proposal 2.2-6k and not in isolation. </w:t>
            </w:r>
          </w:p>
          <w:p w14:paraId="5F560C28" w14:textId="1A38D62F" w:rsidR="004A3A31" w:rsidRDefault="004A3A31" w:rsidP="004A3A31">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lastRenderedPageBreak/>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lastRenderedPageBreak/>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lastRenderedPageBreak/>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lastRenderedPageBreak/>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lastRenderedPageBreak/>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lastRenderedPageBreak/>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fldSimple w:instr=" SEQ Table \* ARABIC ">
              <w:r>
                <w:t>3</w:t>
              </w:r>
            </w:fldSimple>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w:t>
            </w:r>
            <w:r>
              <w:rPr>
                <w:lang w:val="en-US" w:eastAsia="ko-KR"/>
              </w:rPr>
              <w:lastRenderedPageBreak/>
              <w:t xml:space="preserve">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lastRenderedPageBreak/>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lastRenderedPageBreak/>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lastRenderedPageBreak/>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lastRenderedPageBreak/>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lastRenderedPageBreak/>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4A3A31">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4A3A31">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4A3A31">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4A3A31">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4A3A31">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4A3A31">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4A3A31">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4A3A31">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4A3A31">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4A3A31">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4A3A31">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4A3A31">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4A3A31">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4A3A31">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t>[15]</w:t>
            </w:r>
          </w:p>
        </w:tc>
        <w:tc>
          <w:tcPr>
            <w:tcW w:w="1456" w:type="dxa"/>
            <w:tcMar>
              <w:top w:w="0" w:type="dxa"/>
              <w:left w:w="70" w:type="dxa"/>
              <w:bottom w:w="0" w:type="dxa"/>
              <w:right w:w="70" w:type="dxa"/>
            </w:tcMar>
          </w:tcPr>
          <w:p w14:paraId="0E589FC3" w14:textId="77777777" w:rsidR="003B4CD9" w:rsidRDefault="004A3A31">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4A3A31">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4A3A31">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4A3A31">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4A3A31">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4A3A31">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lastRenderedPageBreak/>
              <w:t>[21]</w:t>
            </w:r>
          </w:p>
        </w:tc>
        <w:tc>
          <w:tcPr>
            <w:tcW w:w="1456" w:type="dxa"/>
            <w:tcMar>
              <w:top w:w="0" w:type="dxa"/>
              <w:left w:w="70" w:type="dxa"/>
              <w:bottom w:w="0" w:type="dxa"/>
              <w:right w:w="70" w:type="dxa"/>
            </w:tcMar>
          </w:tcPr>
          <w:p w14:paraId="0E589FE1" w14:textId="77777777" w:rsidR="003B4CD9" w:rsidRDefault="004A3A31">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4A3A31">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4A3A31">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4A3A31">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4A3A31">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4A3A31">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4A3A31">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4A3A31">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4A3A31">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4A3A31">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4A3A31">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4A3A31">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4A3A31">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4A3A31">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4A3A31">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4A3A31">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4A3A31">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4A3A31">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4A3A31">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4A3A31">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4A3A31">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t>[42]</w:t>
            </w:r>
          </w:p>
        </w:tc>
        <w:tc>
          <w:tcPr>
            <w:tcW w:w="1456" w:type="dxa"/>
            <w:tcMar>
              <w:top w:w="0" w:type="dxa"/>
              <w:left w:w="70" w:type="dxa"/>
              <w:bottom w:w="0" w:type="dxa"/>
              <w:right w:w="70" w:type="dxa"/>
            </w:tcMar>
          </w:tcPr>
          <w:p w14:paraId="0E58A04A" w14:textId="77777777" w:rsidR="003B4CD9" w:rsidRDefault="004A3A31">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4A3A31">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4A3A31">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4A3A31">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4A3A31">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C579" w14:textId="77777777" w:rsidR="00FD3C19" w:rsidRDefault="00FD3C19" w:rsidP="00582863">
      <w:pPr>
        <w:spacing w:after="0" w:line="240" w:lineRule="auto"/>
      </w:pPr>
      <w:r>
        <w:separator/>
      </w:r>
    </w:p>
  </w:endnote>
  <w:endnote w:type="continuationSeparator" w:id="0">
    <w:p w14:paraId="355F1D78" w14:textId="77777777" w:rsidR="00FD3C19" w:rsidRDefault="00FD3C19"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504020202020204"/>
    <w:charset w:val="00"/>
    <w:family w:val="swiss"/>
    <w:pitch w:val="variable"/>
    <w:sig w:usb0="20002A87" w:usb1="00000000" w:usb2="00000000" w:usb3="00000000" w:csb0="000001FF"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28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7D98" w14:textId="77777777" w:rsidR="00FD3C19" w:rsidRDefault="00FD3C19" w:rsidP="00582863">
      <w:pPr>
        <w:spacing w:after="0" w:line="240" w:lineRule="auto"/>
      </w:pPr>
      <w:r>
        <w:separator/>
      </w:r>
    </w:p>
  </w:footnote>
  <w:footnote w:type="continuationSeparator" w:id="0">
    <w:p w14:paraId="2365DD99" w14:textId="77777777" w:rsidR="00FD3C19" w:rsidRDefault="00FD3C19"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9"/>
  </w:num>
  <w:num w:numId="8">
    <w:abstractNumId w:val="29"/>
  </w:num>
  <w:num w:numId="9">
    <w:abstractNumId w:val="37"/>
  </w:num>
  <w:num w:numId="10">
    <w:abstractNumId w:val="87"/>
  </w:num>
  <w:num w:numId="11">
    <w:abstractNumId w:val="89"/>
  </w:num>
  <w:num w:numId="12">
    <w:abstractNumId w:val="33"/>
  </w:num>
  <w:num w:numId="13">
    <w:abstractNumId w:val="31"/>
  </w:num>
  <w:num w:numId="14">
    <w:abstractNumId w:val="96"/>
  </w:num>
  <w:num w:numId="15">
    <w:abstractNumId w:val="55"/>
  </w:num>
  <w:num w:numId="16">
    <w:abstractNumId w:val="68"/>
  </w:num>
  <w:num w:numId="17">
    <w:abstractNumId w:val="62"/>
  </w:num>
  <w:num w:numId="18">
    <w:abstractNumId w:val="53"/>
  </w:num>
  <w:num w:numId="19">
    <w:abstractNumId w:val="80"/>
  </w:num>
  <w:num w:numId="20">
    <w:abstractNumId w:val="99"/>
  </w:num>
  <w:num w:numId="21">
    <w:abstractNumId w:val="16"/>
  </w:num>
  <w:num w:numId="22">
    <w:abstractNumId w:val="24"/>
  </w:num>
  <w:num w:numId="23">
    <w:abstractNumId w:val="39"/>
  </w:num>
  <w:num w:numId="24">
    <w:abstractNumId w:val="52"/>
  </w:num>
  <w:num w:numId="25">
    <w:abstractNumId w:val="77"/>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73"/>
  </w:num>
  <w:num w:numId="32">
    <w:abstractNumId w:val="112"/>
  </w:num>
  <w:num w:numId="33">
    <w:abstractNumId w:val="58"/>
  </w:num>
  <w:num w:numId="34">
    <w:abstractNumId w:val="90"/>
  </w:num>
  <w:num w:numId="35">
    <w:abstractNumId w:val="102"/>
  </w:num>
  <w:num w:numId="36">
    <w:abstractNumId w:val="12"/>
  </w:num>
  <w:num w:numId="37">
    <w:abstractNumId w:val="44"/>
  </w:num>
  <w:num w:numId="38">
    <w:abstractNumId w:val="116"/>
  </w:num>
  <w:num w:numId="39">
    <w:abstractNumId w:val="85"/>
  </w:num>
  <w:num w:numId="40">
    <w:abstractNumId w:val="105"/>
  </w:num>
  <w:num w:numId="41">
    <w:abstractNumId w:val="97"/>
  </w:num>
  <w:num w:numId="42">
    <w:abstractNumId w:val="76"/>
  </w:num>
  <w:num w:numId="43">
    <w:abstractNumId w:val="8"/>
  </w:num>
  <w:num w:numId="44">
    <w:abstractNumId w:val="21"/>
  </w:num>
  <w:num w:numId="45">
    <w:abstractNumId w:val="50"/>
  </w:num>
  <w:num w:numId="46">
    <w:abstractNumId w:val="20"/>
  </w:num>
  <w:num w:numId="47">
    <w:abstractNumId w:val="45"/>
  </w:num>
  <w:num w:numId="48">
    <w:abstractNumId w:val="83"/>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8"/>
  </w:num>
  <w:num w:numId="55">
    <w:abstractNumId w:val="65"/>
  </w:num>
  <w:num w:numId="56">
    <w:abstractNumId w:val="7"/>
  </w:num>
  <w:num w:numId="57">
    <w:abstractNumId w:val="110"/>
  </w:num>
  <w:num w:numId="58">
    <w:abstractNumId w:val="114"/>
  </w:num>
  <w:num w:numId="59">
    <w:abstractNumId w:val="104"/>
  </w:num>
  <w:num w:numId="60">
    <w:abstractNumId w:val="0"/>
  </w:num>
  <w:num w:numId="61">
    <w:abstractNumId w:val="51"/>
  </w:num>
  <w:num w:numId="62">
    <w:abstractNumId w:val="27"/>
  </w:num>
  <w:num w:numId="63">
    <w:abstractNumId w:val="84"/>
  </w:num>
  <w:num w:numId="64">
    <w:abstractNumId w:val="74"/>
  </w:num>
  <w:num w:numId="65">
    <w:abstractNumId w:val="71"/>
  </w:num>
  <w:num w:numId="66">
    <w:abstractNumId w:val="34"/>
  </w:num>
  <w:num w:numId="67">
    <w:abstractNumId w:val="35"/>
  </w:num>
  <w:num w:numId="68">
    <w:abstractNumId w:val="6"/>
  </w:num>
  <w:num w:numId="69">
    <w:abstractNumId w:val="82"/>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9"/>
  </w:num>
  <w:num w:numId="79">
    <w:abstractNumId w:val="101"/>
  </w:num>
  <w:num w:numId="80">
    <w:abstractNumId w:val="19"/>
  </w:num>
  <w:num w:numId="81">
    <w:abstractNumId w:val="42"/>
  </w:num>
  <w:num w:numId="82">
    <w:abstractNumId w:val="94"/>
  </w:num>
  <w:num w:numId="83">
    <w:abstractNumId w:val="48"/>
  </w:num>
  <w:num w:numId="84">
    <w:abstractNumId w:val="103"/>
  </w:num>
  <w:num w:numId="85">
    <w:abstractNumId w:val="113"/>
  </w:num>
  <w:num w:numId="86">
    <w:abstractNumId w:val="40"/>
  </w:num>
  <w:num w:numId="87">
    <w:abstractNumId w:val="107"/>
  </w:num>
  <w:num w:numId="88">
    <w:abstractNumId w:val="67"/>
  </w:num>
  <w:num w:numId="89">
    <w:abstractNumId w:val="100"/>
  </w:num>
  <w:num w:numId="90">
    <w:abstractNumId w:val="54"/>
  </w:num>
  <w:num w:numId="91">
    <w:abstractNumId w:val="64"/>
  </w:num>
  <w:num w:numId="92">
    <w:abstractNumId w:val="28"/>
  </w:num>
  <w:num w:numId="93">
    <w:abstractNumId w:val="118"/>
  </w:num>
  <w:num w:numId="94">
    <w:abstractNumId w:val="106"/>
  </w:num>
  <w:num w:numId="95">
    <w:abstractNumId w:val="111"/>
  </w:num>
  <w:num w:numId="96">
    <w:abstractNumId w:val="69"/>
  </w:num>
  <w:num w:numId="97">
    <w:abstractNumId w:val="36"/>
  </w:num>
  <w:num w:numId="98">
    <w:abstractNumId w:val="81"/>
  </w:num>
  <w:num w:numId="99">
    <w:abstractNumId w:val="88"/>
  </w:num>
  <w:num w:numId="100">
    <w:abstractNumId w:val="17"/>
  </w:num>
  <w:num w:numId="101">
    <w:abstractNumId w:val="47"/>
  </w:num>
  <w:num w:numId="102">
    <w:abstractNumId w:val="115"/>
  </w:num>
  <w:num w:numId="103">
    <w:abstractNumId w:val="14"/>
  </w:num>
  <w:num w:numId="104">
    <w:abstractNumId w:val="95"/>
  </w:num>
  <w:num w:numId="105">
    <w:abstractNumId w:val="108"/>
  </w:num>
  <w:num w:numId="106">
    <w:abstractNumId w:val="72"/>
  </w:num>
  <w:num w:numId="107">
    <w:abstractNumId w:val="46"/>
  </w:num>
  <w:num w:numId="108">
    <w:abstractNumId w:val="25"/>
  </w:num>
  <w:num w:numId="109">
    <w:abstractNumId w:val="23"/>
  </w:num>
  <w:num w:numId="110">
    <w:abstractNumId w:val="98"/>
  </w:num>
  <w:num w:numId="111">
    <w:abstractNumId w:val="32"/>
  </w:num>
  <w:num w:numId="112">
    <w:abstractNumId w:val="91"/>
  </w:num>
  <w:num w:numId="113">
    <w:abstractNumId w:val="13"/>
  </w:num>
  <w:num w:numId="114">
    <w:abstractNumId w:val="18"/>
  </w:num>
  <w:num w:numId="115">
    <w:abstractNumId w:val="92"/>
  </w:num>
  <w:num w:numId="116">
    <w:abstractNumId w:val="66"/>
  </w:num>
  <w:num w:numId="117">
    <w:abstractNumId w:val="49"/>
  </w:num>
  <w:num w:numId="118">
    <w:abstractNumId w:val="15"/>
  </w:num>
  <w:num w:numId="119">
    <w:abstractNumId w:val="93"/>
  </w:num>
  <w:num w:numId="120">
    <w:abstractNumId w:val="117"/>
  </w:num>
  <w:num w:numId="121">
    <w:abstractNumId w:val="7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28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46865</Words>
  <Characters>267137</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4</cp:revision>
  <dcterms:created xsi:type="dcterms:W3CDTF">2021-08-26T01:30:00Z</dcterms:created>
  <dcterms:modified xsi:type="dcterms:W3CDTF">2021-08-26T01:37:00Z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