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lastRenderedPageBreak/>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lastRenderedPageBreak/>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lastRenderedPageBreak/>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To move forward, our  s</w:t>
            </w:r>
            <w:r w:rsidR="001C31D6">
              <w:rPr>
                <w:rFonts w:eastAsia="Malgun Gothic"/>
                <w:lang w:eastAsia="ko-KR"/>
              </w:rPr>
              <w:t>uggest</w:t>
            </w:r>
            <w:r>
              <w:rPr>
                <w:rFonts w:eastAsia="Malgun Gothic"/>
                <w:lang w:eastAsia="ko-KR"/>
              </w:rPr>
              <w:t>ion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and after initial access;</w:t>
            </w:r>
          </w:p>
          <w:p w14:paraId="1B0C9D50"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ListParagraph"/>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ListParagraph"/>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ListParagraph"/>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ListParagraph"/>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ListParagraph"/>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ListParagraph"/>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w:t>
            </w:r>
            <w:r>
              <w:rPr>
                <w:lang w:val="en-US" w:eastAsia="ko-KR"/>
              </w:rPr>
              <w:lastRenderedPageBreak/>
              <w:t>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ZTE, Sanechips</w:t>
            </w:r>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lastRenderedPageBreak/>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lastRenderedPageBreak/>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lastRenderedPageBreak/>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w:t>
            </w:r>
            <w:r w:rsidRPr="00653AD5">
              <w:lastRenderedPageBreak/>
              <w:t xml:space="preserve">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w:t>
            </w:r>
            <w:r w:rsidRPr="001146B5">
              <w:rPr>
                <w:rFonts w:ascii="Times New Roman" w:eastAsiaTheme="minorEastAsia" w:hAnsi="Times New Roman" w:cs="Times New Roman"/>
                <w:sz w:val="20"/>
                <w:szCs w:val="20"/>
                <w:lang w:val="en-US" w:eastAsia="zh-CN"/>
              </w:rPr>
              <w:lastRenderedPageBreak/>
              <w:t xml:space="preserve">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lastRenderedPageBreak/>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lastRenderedPageBreak/>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lastRenderedPageBreak/>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lastRenderedPageBreak/>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lastRenderedPageBreak/>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is low in the separate initial DL BWP. Assuming 100 MHz channel BW, DDDSU frame format in TDD, and 8 SSB beams/20 ms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Yu Mincho"/>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FF82FD0" w14:textId="77777777" w:rsidR="00AF39D7"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lastRenderedPageBreak/>
              <w:t xml:space="preserve">The SSB should be </w:t>
            </w:r>
            <w:r w:rsidRPr="00AF39D7">
              <w:rPr>
                <w:rFonts w:ascii="Times New Roman" w:eastAsiaTheme="minorEastAsia" w:hAnsi="Times New Roman" w:cs="Times New Roman"/>
                <w:sz w:val="20"/>
                <w:szCs w:val="20"/>
                <w:lang w:val="en-US" w:eastAsia="zh-CN"/>
              </w:rPr>
              <w:t>mandated,</w:t>
            </w:r>
            <w:r w:rsidRPr="00AF39D7">
              <w:rPr>
                <w:rFonts w:eastAsiaTheme="minorEastAsia"/>
                <w:lang w:val="en-US" w:eastAsia="zh-CN"/>
              </w:rPr>
              <w:t xml:space="preserve"> and we support this bullet. </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lastRenderedPageBreak/>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lastRenderedPageBreak/>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lastRenderedPageBreak/>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lastRenderedPageBreak/>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lastRenderedPageBreak/>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lastRenderedPageBreak/>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lastRenderedPageBreak/>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r>
              <w:rPr>
                <w:rFonts w:eastAsiaTheme="minorEastAsia"/>
                <w:lang w:val="en-US" w:eastAsia="zh-CN"/>
              </w:rPr>
              <w:t xml:space="preserve">Thanks </w:t>
            </w:r>
            <w:r w:rsidR="00471A15">
              <w:rPr>
                <w:rFonts w:eastAsiaTheme="minorEastAsia"/>
                <w:lang w:val="en-US" w:eastAsia="zh-CN"/>
              </w:rPr>
              <w:t>FL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SimSun"/>
                <w:lang w:val="en-US" w:eastAsia="zh-CN"/>
              </w:rPr>
            </w:pPr>
            <w:r>
              <w:rPr>
                <w:rFonts w:eastAsia="SimSun"/>
                <w:lang w:val="en-US" w:eastAsia="zh-CN"/>
              </w:rPr>
              <w:t>Ericsson</w:t>
            </w:r>
          </w:p>
        </w:tc>
        <w:tc>
          <w:tcPr>
            <w:tcW w:w="916" w:type="dxa"/>
          </w:tcPr>
          <w:p w14:paraId="59458D76" w14:textId="77777777" w:rsidR="002D351C" w:rsidRDefault="002D351C" w:rsidP="001B7CD8">
            <w:pPr>
              <w:tabs>
                <w:tab w:val="left" w:pos="551"/>
              </w:tabs>
              <w:rPr>
                <w:rFonts w:eastAsia="SimSun"/>
                <w:lang w:val="en-US" w:eastAsia="zh-CN"/>
              </w:rPr>
            </w:pPr>
            <w:r>
              <w:rPr>
                <w:rFonts w:eastAsia="SimSun"/>
                <w:lang w:val="en-US" w:eastAsia="zh-CN"/>
              </w:rPr>
              <w:t>Y</w:t>
            </w:r>
          </w:p>
        </w:tc>
        <w:tc>
          <w:tcPr>
            <w:tcW w:w="7776" w:type="dxa"/>
          </w:tcPr>
          <w:p w14:paraId="5C50BD49" w14:textId="77777777" w:rsidR="002D351C" w:rsidRDefault="002D351C" w:rsidP="001B7CD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SimSun"/>
                <w:lang w:val="en-US" w:eastAsia="zh-CN"/>
              </w:rPr>
            </w:pPr>
            <w:r>
              <w:t xml:space="preserve">Apple </w:t>
            </w:r>
          </w:p>
        </w:tc>
        <w:tc>
          <w:tcPr>
            <w:tcW w:w="916" w:type="dxa"/>
          </w:tcPr>
          <w:p w14:paraId="7ABB8EA0" w14:textId="77777777" w:rsidR="00AF39D7" w:rsidRDefault="00AF39D7" w:rsidP="00AF39D7">
            <w:pPr>
              <w:tabs>
                <w:tab w:val="left" w:pos="551"/>
              </w:tabs>
              <w:rPr>
                <w:rFonts w:eastAsia="SimSun"/>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lastRenderedPageBreak/>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lastRenderedPageBreak/>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lastRenderedPageBreak/>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lastRenderedPageBreak/>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lastRenderedPageBreak/>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lastRenderedPageBreak/>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lastRenderedPageBreak/>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lastRenderedPageBreak/>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lastRenderedPageBreak/>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lastRenderedPageBreak/>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lastRenderedPageBreak/>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lastRenderedPageBreak/>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lastRenderedPageBreak/>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lastRenderedPageBreak/>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lastRenderedPageBreak/>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lastRenderedPageBreak/>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5939AD">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5939AD">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5939AD">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5939AD">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5939AD">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5939AD">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5939AD">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5939AD">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5939AD">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5939AD">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5939AD">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5939AD">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5939AD">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5939AD">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5939AD">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5939AD">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5939AD">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5939AD">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5939AD">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5939AD">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5939AD">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5939AD">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5939AD">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5939AD">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5939AD">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5939AD">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5939AD">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5939AD">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5939AD">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5939AD">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5939AD">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5939AD">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5939AD">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5939AD">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5939AD">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5939AD">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5939AD">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5939AD">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5939AD">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5939AD">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5939AD">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5939AD">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5939AD">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5939AD">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9AB7" w14:textId="77777777" w:rsidR="005939AD" w:rsidRDefault="005939AD" w:rsidP="004F7298">
      <w:pPr>
        <w:spacing w:after="0" w:line="240" w:lineRule="auto"/>
      </w:pPr>
      <w:r>
        <w:separator/>
      </w:r>
    </w:p>
  </w:endnote>
  <w:endnote w:type="continuationSeparator" w:id="0">
    <w:p w14:paraId="1C10C477" w14:textId="77777777" w:rsidR="005939AD" w:rsidRDefault="005939AD"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altName w:val="Segoe Prin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6CBB" w14:textId="77777777" w:rsidR="005939AD" w:rsidRDefault="005939AD" w:rsidP="004F7298">
      <w:pPr>
        <w:spacing w:after="0" w:line="240" w:lineRule="auto"/>
      </w:pPr>
      <w:r>
        <w:separator/>
      </w:r>
    </w:p>
  </w:footnote>
  <w:footnote w:type="continuationSeparator" w:id="0">
    <w:p w14:paraId="1CBBFBDE" w14:textId="77777777" w:rsidR="005939AD" w:rsidRDefault="005939AD"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表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102</Pages>
  <Words>35582</Words>
  <Characters>202820</Characters>
  <Application>Microsoft Office Word</Application>
  <DocSecurity>0</DocSecurity>
  <Lines>1690</Lines>
  <Paragraphs>475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Hong He</cp:lastModifiedBy>
  <cp:revision>3</cp:revision>
  <dcterms:created xsi:type="dcterms:W3CDTF">2021-08-23T23:03:00Z</dcterms:created>
  <dcterms:modified xsi:type="dcterms:W3CDTF">2021-08-23T23:06:00Z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