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lastRenderedPageBreak/>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lastRenderedPageBreak/>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msg2/msg4/msgB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w:t>
            </w:r>
            <w:r>
              <w:rPr>
                <w:rFonts w:eastAsiaTheme="minorEastAsia"/>
                <w:lang w:val="en-US" w:eastAsia="zh-CN"/>
              </w:rPr>
              <w:lastRenderedPageBreak/>
              <w:t xml:space="preserve">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w:t>
            </w:r>
            <w:r>
              <w:rPr>
                <w:lang w:val="en-US" w:eastAsia="ko-KR"/>
              </w:rPr>
              <w:lastRenderedPageBreak/>
              <w:t xml:space="preserve">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lastRenderedPageBreak/>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lastRenderedPageBreak/>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lastRenderedPageBreak/>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lastRenderedPageBreak/>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and Common CORESETs configured by pddch-ConfigCommon</w:t>
            </w:r>
          </w:p>
          <w:p w14:paraId="7E794F5A" w14:textId="77777777" w:rsidR="004A45D1" w:rsidRDefault="007009D9">
            <w:pPr>
              <w:rPr>
                <w:lang w:val="en-US" w:eastAsia="ko-KR"/>
              </w:rPr>
            </w:pPr>
            <w:r>
              <w:rPr>
                <w:lang w:val="en-US" w:eastAsia="ko-KR"/>
              </w:rPr>
              <w:t>need for pdcch-ConfigCommon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lastRenderedPageBreak/>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lastRenderedPageBreak/>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lastRenderedPageBreak/>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understanding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E794FC4" w14:textId="77777777" w:rsidR="004A45D1" w:rsidRDefault="007009D9">
            <w:pPr>
              <w:jc w:val="both"/>
              <w:rPr>
                <w:b/>
                <w:lang w:val="en-US"/>
              </w:rPr>
            </w:pPr>
            <w:r>
              <w:rPr>
                <w:b/>
                <w:lang w:val="en-US"/>
              </w:rPr>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7E79506D"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bl>
    <w:p w14:paraId="7E7950BF" w14:textId="77777777" w:rsidR="004A45D1" w:rsidRDefault="004A45D1">
      <w:pPr>
        <w:pStyle w:val="ArialText"/>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lastRenderedPageBreak/>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lastRenderedPageBreak/>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Pr>
                <w:b/>
                <w:color w:val="C00000"/>
                <w:szCs w:val="22"/>
                <w:u w:val="single"/>
              </w:rPr>
              <w:t>FFS whether or not to additionally support the case when the centre frequency is different; if so, how to minimize centre frequency retuning</w:t>
            </w:r>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r>
        <w:rPr>
          <w:rFonts w:ascii="Times" w:hAnsi="Times"/>
          <w:szCs w:val="24"/>
          <w:lang w:val="en-US"/>
        </w:rPr>
        <w:lastRenderedPageBreak/>
        <w:t>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lastRenderedPageBreak/>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7952C7"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Agree with ViVo.</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lastRenderedPageBreak/>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We are ok to support this proposal, if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lastRenderedPageBreak/>
              <w:t>Qualcomm</w:t>
            </w:r>
          </w:p>
        </w:tc>
        <w:tc>
          <w:tcPr>
            <w:tcW w:w="1372" w:type="dxa"/>
          </w:tcPr>
          <w:p w14:paraId="7E795334" w14:textId="77777777" w:rsidR="004A45D1" w:rsidRDefault="007009D9">
            <w:pPr>
              <w:tabs>
                <w:tab w:val="left" w:pos="551"/>
              </w:tabs>
              <w:rPr>
                <w:lang w:val="en-US" w:eastAsia="ko-KR"/>
              </w:rPr>
            </w:pPr>
            <w:r>
              <w:rPr>
                <w:lang w:val="en-US" w:eastAsia="ko-KR"/>
              </w:rPr>
              <w:t>Opt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7E795377" w14:textId="77777777" w:rsidR="004A45D1" w:rsidRDefault="007009D9">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r>
              <w:rPr>
                <w:rFonts w:eastAsia="SimSun" w:hint="eastAsia"/>
                <w:bCs/>
                <w:lang w:val="en-US" w:eastAsia="zh-CN"/>
              </w:rPr>
              <w:lastRenderedPageBreak/>
              <w:t>So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lastRenderedPageBreak/>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lastRenderedPageBreak/>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lastRenderedPageBreak/>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lastRenderedPageBreak/>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444"/>
        <w:gridCol w:w="805"/>
        <w:gridCol w:w="8025"/>
      </w:tblGrid>
      <w:tr w:rsidR="004A45D1" w14:paraId="7E79554D" w14:textId="77777777">
        <w:tc>
          <w:tcPr>
            <w:tcW w:w="1372"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tc>
          <w:tcPr>
            <w:tcW w:w="1372"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tc>
          <w:tcPr>
            <w:tcW w:w="1372"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7E79555B" w14:textId="77777777">
        <w:tc>
          <w:tcPr>
            <w:tcW w:w="1372"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tc>
          <w:tcPr>
            <w:tcW w:w="1372"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tc>
          <w:tcPr>
            <w:tcW w:w="1372"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tc>
          <w:tcPr>
            <w:tcW w:w="1372"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7E79556D" w14:textId="77777777">
        <w:tc>
          <w:tcPr>
            <w:tcW w:w="1372"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tc>
          <w:tcPr>
            <w:tcW w:w="1372" w:type="dxa"/>
          </w:tcPr>
          <w:p w14:paraId="7E79556E"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tc>
          <w:tcPr>
            <w:tcW w:w="1372"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7E79557B" w14:textId="77777777">
        <w:tc>
          <w:tcPr>
            <w:tcW w:w="1372"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tc>
          <w:tcPr>
            <w:tcW w:w="1372" w:type="dxa"/>
          </w:tcPr>
          <w:p w14:paraId="7E79557C" w14:textId="77777777" w:rsidR="004A45D1" w:rsidRDefault="007009D9">
            <w:pPr>
              <w:rPr>
                <w:rFonts w:eastAsiaTheme="minorEastAsia"/>
                <w:lang w:val="en-US" w:eastAsia="zh-CN"/>
              </w:rPr>
            </w:pPr>
            <w:r>
              <w:rPr>
                <w:rFonts w:eastAsia="Yu Mincho"/>
                <w:lang w:val="en-US" w:eastAsia="ja-JP"/>
              </w:rPr>
              <w:lastRenderedPageBreak/>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tc>
          <w:tcPr>
            <w:tcW w:w="1372"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tc>
          <w:tcPr>
            <w:tcW w:w="1372"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tc>
          <w:tcPr>
            <w:tcW w:w="1372"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tc>
          <w:tcPr>
            <w:tcW w:w="1372"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7E795594" w14:textId="77777777">
        <w:tc>
          <w:tcPr>
            <w:tcW w:w="1372"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tc>
          <w:tcPr>
            <w:tcW w:w="1372"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-41 if k</w:t>
                  </w:r>
                  <w:r>
                    <w:rPr>
                      <w:sz w:val="18"/>
                      <w:vertAlign w:val="subscript"/>
                    </w:rPr>
                    <w:t>ssb</w:t>
                  </w:r>
                  <w:r>
                    <w:rPr>
                      <w:sz w:val="18"/>
                    </w:rPr>
                    <w:t>=0</w:t>
                  </w:r>
                </w:p>
                <w:p w14:paraId="7E7955A6"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tc>
          <w:tcPr>
            <w:tcW w:w="1372"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tc>
          <w:tcPr>
            <w:tcW w:w="1372"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tc>
          <w:tcPr>
            <w:tcW w:w="1372" w:type="dxa"/>
          </w:tcPr>
          <w:p w14:paraId="7E7955BB" w14:textId="77777777" w:rsidR="004A45D1" w:rsidRDefault="007009D9">
            <w:pPr>
              <w:rPr>
                <w:lang w:val="en-US" w:eastAsia="ko-KR"/>
              </w:rPr>
            </w:pPr>
            <w:r>
              <w:rPr>
                <w:lang w:val="en-US" w:eastAsia="ko-KR"/>
              </w:rPr>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w:t>
            </w:r>
            <w:r>
              <w:rPr>
                <w:lang w:val="en-US" w:eastAsia="ko-KR"/>
              </w:rPr>
              <w:lastRenderedPageBreak/>
              <w:t xml:space="preserve">frequent RF retuning, which causes significant power consumption and complexity if initial DL/UL is also used after initial access. </w:t>
            </w:r>
          </w:p>
        </w:tc>
      </w:tr>
      <w:tr w:rsidR="004A45D1" w14:paraId="7E7955C6" w14:textId="77777777">
        <w:tc>
          <w:tcPr>
            <w:tcW w:w="1372" w:type="dxa"/>
          </w:tcPr>
          <w:p w14:paraId="7E7955BF" w14:textId="77777777" w:rsidR="004A45D1" w:rsidRDefault="007009D9">
            <w:pPr>
              <w:rPr>
                <w:lang w:val="en-US" w:eastAsia="ko-KR"/>
              </w:rPr>
            </w:pPr>
            <w:r>
              <w:rPr>
                <w:lang w:val="en-US" w:eastAsia="ko-KR"/>
              </w:rPr>
              <w:lastRenderedPageBreak/>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tc>
          <w:tcPr>
            <w:tcW w:w="1372"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7E7955CE" w14:textId="77777777">
        <w:tc>
          <w:tcPr>
            <w:tcW w:w="1372"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tc>
          <w:tcPr>
            <w:tcW w:w="1372"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tc>
          <w:tcPr>
            <w:tcW w:w="1372"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tc>
          <w:tcPr>
            <w:tcW w:w="1372" w:type="dxa"/>
          </w:tcPr>
          <w:p w14:paraId="7E7955DF"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tc>
          <w:tcPr>
            <w:tcW w:w="1372"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tc>
          <w:tcPr>
            <w:tcW w:w="1372"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w:t>
            </w:r>
            <w:r>
              <w:rPr>
                <w:rFonts w:eastAsiaTheme="minorEastAsia"/>
                <w:lang w:val="en-US" w:eastAsia="zh-CN"/>
              </w:rPr>
              <w:lastRenderedPageBreak/>
              <w:t>UE-specific RRC configured DL BWP can exceed the max RedCap UE bandwidth in some cases. Frankly speaking, the second bullet is not needed if we can’t come up with a better wording.</w:t>
            </w:r>
          </w:p>
        </w:tc>
      </w:tr>
      <w:tr w:rsidR="004A45D1" w14:paraId="7E7955F0" w14:textId="77777777">
        <w:tc>
          <w:tcPr>
            <w:tcW w:w="1372" w:type="dxa"/>
          </w:tcPr>
          <w:p w14:paraId="7E7955ED" w14:textId="77777777" w:rsidR="004A45D1" w:rsidRDefault="007009D9">
            <w:pPr>
              <w:rPr>
                <w:rFonts w:eastAsia="Malgun Gothic"/>
                <w:lang w:val="en-US" w:eastAsia="ko-KR"/>
              </w:rPr>
            </w:pPr>
            <w:r>
              <w:rPr>
                <w:rFonts w:eastAsia="Malgun Gothic"/>
                <w:lang w:val="en-US" w:eastAsia="ko-KR"/>
              </w:rPr>
              <w:lastRenderedPageBreak/>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tc>
          <w:tcPr>
            <w:tcW w:w="1372"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tc>
          <w:tcPr>
            <w:tcW w:w="1372"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tc>
          <w:tcPr>
            <w:tcW w:w="1372"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7E795604" w14:textId="77777777">
        <w:tc>
          <w:tcPr>
            <w:tcW w:w="1372"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7E79560B" w14:textId="77777777">
        <w:tc>
          <w:tcPr>
            <w:tcW w:w="1372"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tc>
          <w:tcPr>
            <w:tcW w:w="1372" w:type="dxa"/>
          </w:tcPr>
          <w:p w14:paraId="7E79560C"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tc>
          <w:tcPr>
            <w:tcW w:w="1372" w:type="dxa"/>
          </w:tcPr>
          <w:p w14:paraId="393FE48B" w14:textId="10A0DA8F" w:rsidR="007C05BA" w:rsidRDefault="007C05BA">
            <w:pPr>
              <w:rPr>
                <w:rFonts w:eastAsiaTheme="minorEastAsia"/>
                <w:lang w:val="en-US" w:eastAsia="zh-CN"/>
              </w:rPr>
            </w:pPr>
            <w:r>
              <w:rPr>
                <w:rFonts w:eastAsiaTheme="minorEastAsia"/>
                <w:lang w:val="en-US" w:eastAsia="zh-CN"/>
              </w:rPr>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lastRenderedPageBreak/>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lastRenderedPageBreak/>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r>
              <w:rPr>
                <w:lang w:val="en-US"/>
              </w:rPr>
              <w:t>Yuantao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955175">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955175">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955175">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955175">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955175">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955175">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955175">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955175">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955175">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955175">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955175">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955175">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955175">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955175">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lastRenderedPageBreak/>
              <w:t>[15]</w:t>
            </w:r>
          </w:p>
        </w:tc>
        <w:tc>
          <w:tcPr>
            <w:tcW w:w="1456" w:type="dxa"/>
            <w:tcMar>
              <w:top w:w="0" w:type="dxa"/>
              <w:left w:w="70" w:type="dxa"/>
              <w:bottom w:w="0" w:type="dxa"/>
              <w:right w:w="70" w:type="dxa"/>
            </w:tcMar>
          </w:tcPr>
          <w:p w14:paraId="7E795761" w14:textId="77777777" w:rsidR="004A45D1" w:rsidRDefault="00955175">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955175">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955175">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955175">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955175">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955175">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7E79577F" w14:textId="77777777" w:rsidR="004A45D1" w:rsidRDefault="00955175">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955175">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955175">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955175">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r>
              <w:rPr>
                <w:lang w:val="en-US"/>
              </w:rPr>
              <w:t>InterDigital,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955175">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955175">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955175">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955175">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955175">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r>
              <w:rPr>
                <w:lang w:val="en-US"/>
              </w:rPr>
              <w:t xml:space="preserve">ASUSTeK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955175">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955175">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955175">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955175">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955175">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955175">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955175">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955175">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955175">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955175">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955175">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955175">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7E7957E8" w14:textId="77777777" w:rsidR="004A45D1" w:rsidRDefault="00955175">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955175">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6"/>
  </w:num>
  <w:num w:numId="9">
    <w:abstractNumId w:val="9"/>
  </w:num>
  <w:num w:numId="10">
    <w:abstractNumId w:val="27"/>
  </w:num>
  <w:num w:numId="11">
    <w:abstractNumId w:val="29"/>
  </w:num>
  <w:num w:numId="12">
    <w:abstractNumId w:val="7"/>
  </w:num>
  <w:num w:numId="13">
    <w:abstractNumId w:val="31"/>
  </w:num>
  <w:num w:numId="14">
    <w:abstractNumId w:val="22"/>
  </w:num>
  <w:num w:numId="15">
    <w:abstractNumId w:val="15"/>
  </w:num>
  <w:num w:numId="16">
    <w:abstractNumId w:val="20"/>
  </w:num>
  <w:num w:numId="17">
    <w:abstractNumId w:val="18"/>
  </w:num>
  <w:num w:numId="18">
    <w:abstractNumId w:val="14"/>
  </w:num>
  <w:num w:numId="19">
    <w:abstractNumId w:val="32"/>
  </w:num>
  <w:num w:numId="20">
    <w:abstractNumId w:val="26"/>
  </w:num>
  <w:num w:numId="21">
    <w:abstractNumId w:val="24"/>
  </w:num>
  <w:num w:numId="22">
    <w:abstractNumId w:val="34"/>
  </w:num>
  <w:num w:numId="23">
    <w:abstractNumId w:val="13"/>
  </w:num>
  <w:num w:numId="24">
    <w:abstractNumId w:val="33"/>
  </w:num>
  <w:num w:numId="25">
    <w:abstractNumId w:val="35"/>
  </w:num>
  <w:num w:numId="26">
    <w:abstractNumId w:val="10"/>
  </w:num>
  <w:num w:numId="27">
    <w:abstractNumId w:val="25"/>
  </w:num>
  <w:num w:numId="28">
    <w:abstractNumId w:val="30"/>
  </w:num>
  <w:num w:numId="29">
    <w:abstractNumId w:val="19"/>
  </w:num>
  <w:num w:numId="30">
    <w:abstractNumId w:val="5"/>
  </w:num>
  <w:num w:numId="31">
    <w:abstractNumId w:val="37"/>
  </w:num>
  <w:num w:numId="32">
    <w:abstractNumId w:val="8"/>
  </w:num>
  <w:num w:numId="33">
    <w:abstractNumId w:val="23"/>
  </w:num>
  <w:num w:numId="34">
    <w:abstractNumId w:val="28"/>
  </w:num>
  <w:num w:numId="35">
    <w:abstractNumId w:val="4"/>
  </w:num>
  <w:num w:numId="36">
    <w:abstractNumId w:val="12"/>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055A"/>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datastoreItem>
</file>

<file path=customXml/itemProps2.xml><?xml version="1.0" encoding="utf-8"?>
<ds:datastoreItem xmlns:ds="http://schemas.openxmlformats.org/officeDocument/2006/customXml" ds:itemID="{AC9066CC-F436-421D-BDE5-A8B6926E2A56}">
  <ds:schemaRefs/>
</ds:datastoreItem>
</file>

<file path=customXml/itemProps3.xml><?xml version="1.0" encoding="utf-8"?>
<ds:datastoreItem xmlns:ds="http://schemas.openxmlformats.org/officeDocument/2006/customXml" ds:itemID="{2A1E6741-5747-4CAB-A567-DF5A7D029485}">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18291</Words>
  <Characters>104264</Characters>
  <Application>Microsoft Office Word</Application>
  <DocSecurity>0</DocSecurity>
  <Lines>868</Lines>
  <Paragraphs>244</Paragraphs>
  <ScaleCrop>false</ScaleCrop>
  <Company/>
  <LinksUpToDate>false</LinksUpToDate>
  <CharactersWithSpaces>122311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37</cp:revision>
  <dcterms:created xsi:type="dcterms:W3CDTF">2021-08-17T15:21:00Z</dcterms:created>
  <dcterms:modified xsi:type="dcterms:W3CDTF">2021-08-17T18:05:00Z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