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r>
        <w:rPr>
          <w:rFonts w:ascii="Arial" w:hAnsi="Arial" w:cs="Arial"/>
          <w:sz w:val="22"/>
        </w:rPr>
        <w:t>e-Meeting,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ListParagraph"/>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1-a:Slot index as the LSB </w:t>
      </w:r>
    </w:p>
    <w:p w14:paraId="4F1F6973" w14:textId="77777777" w:rsidR="00460E72" w:rsidRDefault="00A748DC">
      <w:pPr>
        <w:numPr>
          <w:ilvl w:val="1"/>
          <w:numId w:val="13"/>
        </w:numPr>
        <w:spacing w:after="0"/>
        <w:ind w:leftChars="640" w:left="1896"/>
        <w:rPr>
          <w:iCs/>
        </w:rPr>
      </w:pPr>
      <w:r>
        <w:rPr>
          <w:iCs/>
        </w:rPr>
        <w:t>Option 2: Reusing one bit from other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Xiaomi, ITL, Nokia</w:t>
      </w:r>
    </w:p>
    <w:p w14:paraId="71361266"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5DBD1B51"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ListParagraph"/>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vivo (extend the number of scrambled CRC parity bits), CAICT (same as DCI 0-1/1-1), Xiaomi (Option 1/1a)</w:t>
      </w:r>
    </w:p>
    <w:p w14:paraId="48B9B970" w14:textId="77777777" w:rsidR="00460E72" w:rsidRDefault="00A748DC">
      <w:pPr>
        <w:snapToGrid w:val="0"/>
        <w:spacing w:beforeLines="50" w:before="120" w:afterLines="50" w:after="120"/>
        <w:ind w:leftChars="100" w:left="240"/>
        <w:rPr>
          <w:bCs/>
        </w:rPr>
      </w:pPr>
      <w:r>
        <w:rPr>
          <w:rFonts w:eastAsiaTheme="minorEastAsia"/>
        </w:rPr>
        <w:t>Also, as highlighted by [CATT, MTK, Xiaomi], supports on the larger HARQ process is up to UE’s capability and can be configured by gNB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Option 2: Reusing one bit from other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gNB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 xml:space="preserve">Option 4 is sufficient for </w:t>
            </w:r>
            <w:proofErr w:type="spellStart"/>
            <w:r>
              <w:t>fall-back</w:t>
            </w:r>
            <w:proofErr w:type="spellEnd"/>
            <w:r>
              <w:t xml:space="preserve">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preferrable.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initial access (or during RA in RRC connected) just in case some 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ption 4 is the first priority,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r>
              <w:rPr>
                <w:rFonts w:cs="Arial" w:hint="eastAsia"/>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any other options will cause potential ambiguity between gNB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bl>
    <w:p w14:paraId="3BEC600C"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Option-1: No enhancement;</w:t>
      </w:r>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5BE6C825" w14:textId="77777777" w:rsidR="00460E72" w:rsidRDefault="00A748DC">
      <w:pPr>
        <w:pStyle w:val="ListParagraph"/>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99281B" w14:textId="77777777" w:rsidR="00460E72" w:rsidRDefault="00A748DC">
      <w:pPr>
        <w:pStyle w:val="ListParagraph"/>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ListParagraph"/>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where the gNB may schedule DL transmissions for the UE blindly, and for this case the benefit of the UE feedback may be seen as limited</w:t>
            </w:r>
            <w:r>
              <w:t>. The main purpose of this would be to conserve the UE power by potentially omitting the PUCCH transmissions when they are not needed. However, for cases where the UE is anyway performing transmission of PUCCH, the gNB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Hyperlink"/>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If the reliability can be same as enabled feedback e.g.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gNB could avoid waiting feedback to start another data transmission on the same process number. So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avoiding HARQ stalling due to large RTT between the UE and gNB.</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Malgun Gothic"/>
                <w:lang w:eastAsia="ko-KR"/>
              </w:rPr>
              <w:t>Same</w:t>
            </w:r>
            <w:r>
              <w:rPr>
                <w:rFonts w:eastAsia="Malgun Gothic" w:hint="eastAsia"/>
                <w:lang w:eastAsia="ko-KR"/>
              </w:rPr>
              <w:t xml:space="preserve"> view as </w:t>
            </w:r>
            <w:r>
              <w:rPr>
                <w:rFonts w:eastAsia="Malgun Gothic"/>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Malgun Gothic"/>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Malgun Gothic" w:cs="Arial" w:hint="eastAsia"/>
                <w:lang w:eastAsia="ko-KR"/>
              </w:rPr>
              <w:t>L</w:t>
            </w:r>
            <w:r>
              <w:rPr>
                <w:rFonts w:eastAsia="Malgun Gothic"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Malgun Gothic"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Malgun Gothic"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Malgun Gothic"/>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bl>
    <w:p w14:paraId="08B572A7"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ListParagraph"/>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ListParagraph"/>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Xiaomi, Panasonic]</w:t>
      </w:r>
    </w:p>
    <w:p w14:paraId="2F74E60E" w14:textId="77777777" w:rsidR="00460E72" w:rsidRDefault="00A748DC">
      <w:pPr>
        <w:pStyle w:val="ListParagraph"/>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14:paraId="32AA868C"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ListParagraph"/>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1F56C5C2" w14:textId="77777777" w:rsidR="00460E72" w:rsidRDefault="00A748DC">
      <w:pPr>
        <w:pStyle w:val="ListParagraph"/>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ListParagraph"/>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54A603DC"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0D6F7AFA"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50AA2450"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w:t>
      </w:r>
      <w:proofErr w:type="gramStart"/>
      <w:r>
        <w:rPr>
          <w:rFonts w:ascii="Times New Roman" w:eastAsiaTheme="minorEastAsia" w:hAnsi="Times New Roman"/>
          <w:bCs/>
          <w:color w:val="000000" w:themeColor="text1"/>
          <w:sz w:val="20"/>
          <w:szCs w:val="20"/>
        </w:rPr>
        <w:t>feedback-enabled</w:t>
      </w:r>
      <w:proofErr w:type="gramEnd"/>
      <w:r>
        <w:rPr>
          <w:rFonts w:ascii="Times New Roman" w:eastAsiaTheme="minorEastAsia" w:hAnsi="Times New Roman"/>
          <w:bCs/>
          <w:color w:val="000000" w:themeColor="text1"/>
          <w:sz w:val="20"/>
          <w:szCs w:val="20"/>
        </w:rPr>
        <w:t xml:space="preserve"> HARQ process in any slot associated with the HARQ codebook is decoded [CATT, CAICT, Ericsson, CMCC, ZTE].</w:t>
      </w:r>
    </w:p>
    <w:p w14:paraId="2A3FE80E" w14:textId="77777777" w:rsidR="00460E72" w:rsidRDefault="00A748DC">
      <w:pPr>
        <w:pStyle w:val="ListParagraph"/>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Others</w:t>
      </w:r>
    </w:p>
    <w:p w14:paraId="70B63680"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ListParagraph"/>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ListParagraph"/>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ListParagraph"/>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ListParagraph"/>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3C5B8E4B" w14:textId="77777777" w:rsidR="00460E72" w:rsidRDefault="00A748DC">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6DCE2DAA"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ListParagraph"/>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FFS: Necessity on the indication of additional assistance information from gNB</w:t>
      </w:r>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From our point of view it is crucial that the codebook size is deterministic, such that both UE and gNB have a common agreement on the expected codebook size. As we read the this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gNB to have the wrong understanding of the assignment of multiplexing for the UL transmission – </w:t>
            </w:r>
            <w:r>
              <w:rPr>
                <w:highlight w:val="cyan"/>
              </w:rPr>
              <w:t>for both UCI on PUCCH (multiplexing with other UCI) and UCI on PUSCH (multiplexing with both data and other UCI)</w:t>
            </w:r>
            <w:r>
              <w:t>.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gNB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gNB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t is desirable to skip the HARQ-ACK feedback when only disabled HARQ processes are associated, since it would be helpful to avoid the unnecessary UL transmission at a UE side 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gNB. </w:t>
            </w:r>
          </w:p>
        </w:tc>
      </w:tr>
    </w:tbl>
    <w:p w14:paraId="59BE7E9F"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ListParagraph"/>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ListParagraph"/>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Supportive to enhancement: [Huawei, vivo, Xiaomi/</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4BFCF15B" w14:textId="77777777" w:rsidR="00460E72" w:rsidRDefault="00A748DC">
      <w:pPr>
        <w:pStyle w:val="ListParagraph"/>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ListParagraph"/>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ListParagraph"/>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CATT, CMCC, LG, Ericsson, Xiaomi</w:t>
      </w:r>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09AA364F"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ListParagraph"/>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gNB [Samsung, NEC, ZTE] </w:t>
      </w:r>
    </w:p>
    <w:p w14:paraId="23AE247E" w14:textId="77777777" w:rsidR="00460E72" w:rsidRDefault="00A748DC">
      <w:pPr>
        <w:pStyle w:val="ListParagraph"/>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ListParagraph"/>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he C-DAI and T-DAI are the count of feedback-enabled processes, despite they are not incremented</w:t>
      </w:r>
    </w:p>
    <w:p w14:paraId="4FF3A989" w14:textId="77777777" w:rsidR="00460E72" w:rsidRDefault="00A748DC">
      <w:pPr>
        <w:snapToGrid w:val="0"/>
        <w:spacing w:beforeLines="50" w:before="120" w:afterLines="50" w:after="120"/>
        <w:ind w:left="424"/>
        <w:rPr>
          <w:iCs/>
        </w:rPr>
      </w:pPr>
      <w:r>
        <w:rPr>
          <w:iCs/>
        </w:rPr>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A benefit from the proposal is none or, at best, marginal without any impact to system operation. A specification impact and gNB/UE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We would have a preference for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ListParagraph"/>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08B82C28"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1C82C1B7"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ListParagraph"/>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ListParagraph"/>
        <w:numPr>
          <w:ilvl w:val="2"/>
          <w:numId w:val="19"/>
        </w:numPr>
        <w:jc w:val="both"/>
        <w:rPr>
          <w:rFonts w:ascii="Times New Roman" w:hAnsi="Times New Roman"/>
          <w:bCs/>
          <w:kern w:val="2"/>
          <w:sz w:val="20"/>
          <w:szCs w:val="20"/>
        </w:rPr>
      </w:pPr>
      <w:r>
        <w:rPr>
          <w:rFonts w:ascii="Times New Roman" w:hAnsi="Times New Roman"/>
          <w:bCs/>
          <w:kern w:val="2"/>
          <w:sz w:val="20"/>
          <w:szCs w:val="20"/>
        </w:rPr>
        <w:t>UE feedbacks acknowledgement for the reception of SPS activation DCI, if the first PDSCH after reception of the SPS activation DCI is associated with disabled HARQ process. [LG]</w:t>
      </w:r>
    </w:p>
    <w:p w14:paraId="3B846E61" w14:textId="77777777" w:rsidR="00460E72" w:rsidRDefault="00A748DC">
      <w:pPr>
        <w:pStyle w:val="ListParagraph"/>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ListParagraph"/>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75A38CD5" w14:textId="77777777" w:rsidR="00460E72" w:rsidRDefault="00A748DC">
      <w:pPr>
        <w:pStyle w:val="ListParagraph"/>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1E5EC004" w14:textId="77777777" w:rsidR="00460E72" w:rsidRDefault="00A748DC">
      <w:pPr>
        <w:pStyle w:val="NoSpacing"/>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ListParagraph"/>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77013AA5"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e.g. CFRA in a handover case, can be further discussed.</w:t>
      </w:r>
    </w:p>
    <w:p w14:paraId="0533B8D1"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ListParagraph"/>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ListParagraph"/>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3" w:history="1">
              <w:r>
                <w:rPr>
                  <w:rStyle w:val="Hyperlink"/>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ListParagraph"/>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We think this should be clarified in the proposal sufficiently. Otherwise, misunderstanding would be possible like that no feedback is assumed in process number with disabled-feedback.</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t>In the current spec, there is no special HARQ-ACK feedback for SPS activation PDCCH. Once HARQ-ACK or the first SPS PDSCH is received, gNB could assume SPS activation PDCCH is acknowledged by the UE. When HARQ-ACK feedback for the SPS PDSCH is disabled, HARQ-ACK for SPS activation is needed to have consistent assumptions about whether the SPS is activated at gNB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Malgun Gothic"/>
                <w:lang w:eastAsia="ko-KR"/>
              </w:rPr>
            </w:pPr>
            <w:r>
              <w:rPr>
                <w:rFonts w:eastAsia="Malgun Gothic" w:hint="eastAsia"/>
                <w:lang w:eastAsia="ko-KR"/>
              </w:rPr>
              <w:t xml:space="preserve">Fine with </w:t>
            </w:r>
            <w:r>
              <w:rPr>
                <w:rFonts w:eastAsia="Malgun Gothic"/>
                <w:lang w:eastAsia="ko-KR"/>
              </w:rPr>
              <w:t>proposal</w:t>
            </w:r>
            <w:r>
              <w:rPr>
                <w:rFonts w:eastAsia="Malgun Gothic"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Malgun Gothic"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Malgun Gothic"/>
                <w:lang w:eastAsia="ko-KR"/>
              </w:rPr>
            </w:pPr>
            <w:r>
              <w:t>Support. Prefer Alt-2.</w:t>
            </w:r>
          </w:p>
        </w:tc>
      </w:tr>
    </w:tbl>
    <w:p w14:paraId="2A26C15F"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ListParagraph"/>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ListParagraph"/>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ListParagraph"/>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 xml:space="preserve">We don’t see the need for </w:t>
            </w:r>
            <w:proofErr w:type="spellStart"/>
            <w:r>
              <w:t>optimising</w:t>
            </w:r>
            <w:proofErr w:type="spellEnd"/>
            <w:r>
              <w:t xml:space="preserve">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ListParagraph"/>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639F0E37" w14:textId="77777777" w:rsidR="00460E72" w:rsidRDefault="00EC52F2">
      <w:pPr>
        <w:pStyle w:val="ListParagraph"/>
        <w:numPr>
          <w:ilvl w:val="0"/>
          <w:numId w:val="25"/>
        </w:numPr>
        <w:spacing w:beforeLines="50" w:before="120" w:after="120"/>
        <w:rPr>
          <w:rFonts w:ascii="Times New Roman" w:hAnsi="Times New Roman"/>
          <w:sz w:val="20"/>
          <w:szCs w:val="20"/>
        </w:rPr>
      </w:pPr>
      <w:hyperlink w:anchor="_Toc79154036" w:history="1">
        <w:r w:rsidR="00A748DC">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A748DC">
        <w:rPr>
          <w:rFonts w:ascii="Times New Roman" w:hAnsi="Times New Roman"/>
          <w:sz w:val="20"/>
          <w:szCs w:val="20"/>
        </w:rPr>
        <w:t xml:space="preserve"> [Ericsson]</w:t>
      </w:r>
    </w:p>
    <w:p w14:paraId="67F12D71" w14:textId="77777777" w:rsidR="00460E72" w:rsidRDefault="00EC52F2">
      <w:pPr>
        <w:pStyle w:val="ListParagraph"/>
        <w:numPr>
          <w:ilvl w:val="1"/>
          <w:numId w:val="26"/>
        </w:numPr>
        <w:spacing w:beforeLines="50" w:before="120" w:after="120"/>
        <w:rPr>
          <w:rFonts w:ascii="Times New Roman" w:hAnsi="Times New Roman"/>
          <w:sz w:val="20"/>
          <w:szCs w:val="20"/>
        </w:rPr>
      </w:pPr>
      <w:hyperlink w:anchor="_Toc79154037" w:history="1">
        <w:r w:rsidR="00A748DC">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EC52F2">
      <w:pPr>
        <w:pStyle w:val="ListParagraph"/>
        <w:numPr>
          <w:ilvl w:val="1"/>
          <w:numId w:val="26"/>
        </w:numPr>
        <w:spacing w:beforeLines="50" w:before="120" w:after="120"/>
        <w:rPr>
          <w:rFonts w:ascii="Times New Roman" w:hAnsi="Times New Roman"/>
          <w:sz w:val="20"/>
          <w:szCs w:val="20"/>
        </w:rPr>
      </w:pPr>
      <w:hyperlink w:anchor="_Toc79154038" w:history="1">
        <w:r w:rsidR="00A748DC">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ListParagraph"/>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 xml:space="preserve">Agree for feedback-enabled. Need more discussion on the meaning of </w:t>
            </w:r>
            <w:proofErr w:type="spellStart"/>
            <w:r>
              <w:t>OoO</w:t>
            </w:r>
            <w:proofErr w:type="spellEnd"/>
            <w:r>
              <w:t xml:space="preserve">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Since there is no feedback on disabled HARQ process we do not think that it is applicable to out-of-order restrictions. Can the FL 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Malgun Gothic" w:hint="eastAsia"/>
                <w:lang w:eastAsia="ko-KR"/>
              </w:rPr>
              <w:t>Share the view with Huawei that it is unclear how to handle the disabled HARQ process.</w:t>
            </w:r>
            <w:r>
              <w:rPr>
                <w:rFonts w:eastAsia="Malgun Gothic"/>
                <w:lang w:eastAsia="ko-KR"/>
              </w:rPr>
              <w:t xml:space="preserve"> In the legacy (all feedback-enabled processes) </w:t>
            </w:r>
            <w:r>
              <w:rPr>
                <w:rFonts w:eastAsia="Malgun Gothic" w:hint="eastAsia"/>
                <w:lang w:eastAsia="ko-KR"/>
              </w:rPr>
              <w:t>restriction applie</w:t>
            </w:r>
            <w:r>
              <w:rPr>
                <w:rFonts w:eastAsia="Malgun Gothic"/>
                <w:lang w:eastAsia="ko-KR"/>
              </w:rPr>
              <w:t xml:space="preserve">d based on their ACK/NACK timing. </w:t>
            </w:r>
            <w:r>
              <w:rPr>
                <w:rFonts w:eastAsia="Malgun Gothic" w:hint="eastAsia"/>
                <w:lang w:eastAsia="ko-KR"/>
              </w:rPr>
              <w:t xml:space="preserve"> </w:t>
            </w:r>
            <w:r>
              <w:rPr>
                <w:rFonts w:eastAsia="Malgun Gothic"/>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is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 xml:space="preserve">Confirm the previous working assumption for X = T_proc,1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w:t>
            </w:r>
            <w:proofErr w:type="gramStart"/>
            <w:r>
              <w:t>_(</w:t>
            </w:r>
            <w:proofErr w:type="gramEnd"/>
            <w:r>
              <w:t>proc,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(i.e.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EC52F2">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86.7pt">
            <v:imagedata r:id="rId14"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T_proc,2)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ListParagraph"/>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ListParagraph"/>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ListParagraph"/>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ListParagraph"/>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4A65566" w14:textId="77777777" w:rsidR="00460E72" w:rsidRDefault="00A748DC">
      <w:pPr>
        <w:pStyle w:val="ListParagraph"/>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ListParagraph"/>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7D781690" w14:textId="77777777" w:rsidR="00460E72" w:rsidRDefault="00A748DC">
      <w:pPr>
        <w:pStyle w:val="BodyText"/>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TableGrid"/>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b/>
              </w:rPr>
            </w:pPr>
            <w:r>
              <w:rPr>
                <w:b/>
              </w:rPr>
              <w:t>Conclusion</w:t>
            </w:r>
          </w:p>
          <w:p w14:paraId="2C80771A" w14:textId="77777777" w:rsidR="00460E72" w:rsidRDefault="00A748DC">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lang w:eastAsia="ko-KR"/>
              </w:rPr>
            </w:pPr>
            <w:r>
              <w:rPr>
                <w:lang w:eastAsia="ko-KR"/>
              </w:rPr>
              <w:t>The common understanding is that the DCI is expected to be received after the end of the last PUSCH.</w:t>
            </w:r>
          </w:p>
        </w:tc>
      </w:tr>
    </w:tbl>
    <w:p w14:paraId="54A59F9D" w14:textId="77777777" w:rsidR="00460E72" w:rsidRDefault="00A748DC">
      <w:pPr>
        <w:pStyle w:val="BodyText"/>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r>
              <w:rPr>
                <w:rFonts w:cs="Arial"/>
              </w:rPr>
              <w:t>Xiaomi</w:t>
            </w:r>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Enhancement for DL vs UL</w:t>
      </w:r>
    </w:p>
    <w:p w14:paraId="71A09341"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BodyText"/>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BodyText"/>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BodyText"/>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BodyText"/>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BodyText"/>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BodyText"/>
        <w:suppressAutoHyphens/>
        <w:snapToGrid w:val="0"/>
        <w:spacing w:beforeLines="50" w:before="120" w:afterLines="50"/>
        <w:ind w:leftChars="332" w:left="797"/>
        <w:rPr>
          <w:rFonts w:eastAsiaTheme="minorEastAsia"/>
        </w:rPr>
      </w:pPr>
      <w:r>
        <w:rPr>
          <w:rFonts w:eastAsiaTheme="minorEastAsia"/>
        </w:rPr>
        <w:t>For the aggregated transmission, following solutions are proposed to optimize the transmission</w:t>
      </w:r>
      <w:r>
        <w:rPr>
          <w:rFonts w:eastAsiaTheme="minorEastAsia" w:hint="eastAsia"/>
        </w:rPr>
        <w:t>：</w:t>
      </w:r>
    </w:p>
    <w:p w14:paraId="447730C7" w14:textId="77777777" w:rsidR="00460E72" w:rsidRDefault="00A748DC">
      <w:pPr>
        <w:pStyle w:val="BodyText"/>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BodyText"/>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BodyText"/>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BodyText"/>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BodyText"/>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In additional, others solutions, e.g., enhancements on CQI/MCS table with new BLER [Qualcomm, Interdigital] with concern from [CATT]</w:t>
      </w:r>
      <w:r>
        <w:rPr>
          <w:rFonts w:eastAsiaTheme="minorEastAsia" w:hint="eastAsia"/>
        </w:rPr>
        <w:t>,</w:t>
      </w:r>
      <w:r>
        <w:rPr>
          <w:rFonts w:eastAsiaTheme="minorEastAsia"/>
        </w:rPr>
        <w:t xml:space="preserve"> new UCI feedback in case of scheduling with disabled HARQ feedback[ETRI, Xiaomi],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4BC8E320"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Malgun Gothic"/>
                <w:lang w:eastAsia="ko-KR"/>
              </w:rPr>
            </w:pPr>
            <w:r>
              <w:rPr>
                <w:rFonts w:eastAsia="Malgun Gothic"/>
                <w:lang w:eastAsia="ko-KR"/>
              </w:rPr>
              <w:t>S</w:t>
            </w:r>
            <w:r>
              <w:rPr>
                <w:rFonts w:eastAsia="Malgun Gothic" w:hint="eastAsia"/>
                <w:lang w:eastAsia="ko-KR"/>
              </w:rPr>
              <w:t>upport Initial Proposal 4-1</w:t>
            </w:r>
            <w:r>
              <w:rPr>
                <w:rFonts w:eastAsia="Malgun Gothic"/>
                <w:lang w:eastAsia="ko-KR"/>
              </w:rPr>
              <w:t xml:space="preserve"> and </w:t>
            </w:r>
            <w:r>
              <w:rPr>
                <w:rFonts w:eastAsia="Malgun Gothic"/>
                <w:lang w:eastAsia="ko-KR"/>
              </w:rPr>
              <w:br/>
              <w:t xml:space="preserve">Prefer X=32 and </w:t>
            </w:r>
            <w:r>
              <w:rPr>
                <w:rFonts w:eastAsia="Malgun Gothic"/>
                <w:lang w:eastAsia="ko-KR"/>
              </w:rPr>
              <w:br/>
              <w:t xml:space="preserve">Support different configurations </w:t>
            </w:r>
            <w:r>
              <w:t>for feedback-disabled or feedback-enabled HARQ process.</w:t>
            </w:r>
            <w:r>
              <w:br/>
            </w:r>
            <w:r>
              <w:br/>
            </w:r>
            <w:r>
              <w:rPr>
                <w:rFonts w:eastAsia="Malgun Gothic"/>
                <w:lang w:eastAsia="ko-KR"/>
              </w:rPr>
              <w:t xml:space="preserve">Regarding different configurations, </w:t>
            </w:r>
            <w:r>
              <w:rPr>
                <w:rFonts w:eastAsia="Malgun Gothic"/>
                <w:lang w:eastAsia="ko-KR"/>
              </w:rPr>
              <w:br/>
              <w:t xml:space="preserve">  different configurations for </w:t>
            </w:r>
            <w:r>
              <w:t xml:space="preserve">feedback-disabled or feedback-enabled HARQ process </w:t>
            </w:r>
            <w:r>
              <w:rPr>
                <w:rFonts w:eastAsia="Malgun Gothic"/>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Malgun Gothic" w:cs="Arial"/>
                <w:lang w:eastAsia="ko-KR"/>
              </w:rPr>
            </w:pPr>
            <w:r>
              <w:rPr>
                <w:rFonts w:eastAsia="Malgun Gothic"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Malgun Gothic"/>
                <w:lang w:eastAsia="ko-KR"/>
              </w:rPr>
            </w:pPr>
            <w:r>
              <w:rPr>
                <w:rFonts w:eastAsia="Malgun Gothic"/>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Malgun Gothic"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Malgun Gothic"/>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BodyText"/>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14:paraId="4837E5DA" w14:textId="77777777" w:rsidR="00460E72" w:rsidRDefault="00A748DC">
      <w:pPr>
        <w:pStyle w:val="BodyText"/>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 xml:space="preserve">oreover, as pointed by [Nokia], to avoid the same ambiguity for DCI carrying SPS release </w:t>
      </w:r>
      <w:proofErr w:type="spellStart"/>
      <w:r>
        <w:rPr>
          <w:rFonts w:eastAsiaTheme="minorEastAsia"/>
        </w:rPr>
        <w:t>signalling</w:t>
      </w:r>
      <w:proofErr w:type="spellEnd"/>
      <w:r>
        <w:rPr>
          <w:rFonts w:eastAsiaTheme="minorEastAsia"/>
        </w:rPr>
        <w:t>,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gNB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 xml:space="preserve">Support. Otherwise, UE </w:t>
            </w:r>
            <w:proofErr w:type="spellStart"/>
            <w:r>
              <w:t>behaviour</w:t>
            </w:r>
            <w:proofErr w:type="spellEnd"/>
            <w:r>
              <w:t xml:space="preserve">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The scheduling with a given HARQ process to enable/disable HARQ feedback to send MAC CE can be left to gNB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Xiaomi, </w:t>
      </w:r>
      <w:proofErr w:type="spellStart"/>
      <w:r>
        <w:rPr>
          <w:rFonts w:cs="Arial" w:hint="eastAsia"/>
        </w:rPr>
        <w:t>Baicells</w:t>
      </w:r>
      <w:proofErr w:type="spellEnd"/>
      <w:r>
        <w:rPr>
          <w:rFonts w:cs="Arial"/>
        </w:rPr>
        <w:t xml:space="preserve">, Huawei, Ericsson, ITL, Qualcomm, Sony, Panasonic, </w:t>
      </w:r>
      <w:proofErr w:type="spellStart"/>
      <w:r>
        <w:rPr>
          <w:rFonts w:cs="Arial"/>
        </w:rPr>
        <w:t>Spreadtrum</w:t>
      </w:r>
      <w:proofErr w:type="spellEnd"/>
      <w:r>
        <w:rPr>
          <w:rFonts w:cs="Arial"/>
        </w:rPr>
        <w:t>, Lenovo/MM, Sharp, LG, CMCC, NEC</w:t>
      </w:r>
      <w:r>
        <w:rPr>
          <w:iCs/>
        </w:rPr>
        <w:t>] support this proposal</w:t>
      </w:r>
      <w:r>
        <w:rPr>
          <w:rFonts w:eastAsiaTheme="minorEastAsia"/>
        </w:rPr>
        <w:t xml:space="preserve">. </w:t>
      </w:r>
      <w:r>
        <w:rPr>
          <w:iCs/>
        </w:rPr>
        <w:t xml:space="preserve">vivo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Huawei, Qualcomm, CAICT, Sharp</w:t>
      </w:r>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Option 3 is supported by 5 companies [Nokia, Xiaomi,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proofErr w:type="spellStart"/>
      <w:r>
        <w:rPr>
          <w:rFonts w:cs="Arial" w:hint="eastAsia"/>
        </w:rPr>
        <w:t>Baicells</w:t>
      </w:r>
      <w:proofErr w:type="spellEnd"/>
      <w:r>
        <w:rPr>
          <w:rFonts w:cs="Arial"/>
        </w:rPr>
        <w:t>, Sony, Panasonic, Lenovo/MM, LG, CMCC, NEC</w:t>
      </w:r>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Moreover, [OPPO, Panasonic] mention the enhancements might cause potential ambiguity between gNB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Since companies’ views are still diverse now, and from moderator perspective, following updates with slight narrow down of option can be considered with following updated version:</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Malgun Gothic"/>
                <w:lang w:eastAsia="ko-KR"/>
              </w:rPr>
              <w:t>W</w:t>
            </w:r>
            <w:r>
              <w:rPr>
                <w:rFonts w:eastAsia="Malgun Gothic" w:hint="eastAsia"/>
                <w:lang w:eastAsia="ko-KR"/>
              </w:rPr>
              <w:t xml:space="preserve">e are fine with the </w:t>
            </w:r>
            <w:r>
              <w:rPr>
                <w:rFonts w:eastAsia="Malgun Gothic"/>
                <w:lang w:eastAsia="ko-KR"/>
              </w:rPr>
              <w:t>p</w:t>
            </w:r>
            <w:r>
              <w:rPr>
                <w:rFonts w:eastAsia="Malgun Gothic"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 xml:space="preserve">To support Option2, we think more evidence on the throughput requirement of the </w:t>
            </w:r>
            <w:proofErr w:type="spellStart"/>
            <w:r>
              <w:t>fall-back</w:t>
            </w:r>
            <w:proofErr w:type="spellEnd"/>
            <w:r>
              <w:t xml:space="preserve">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r w:rsidR="00C47465" w14:paraId="021CC9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794A72" w14:textId="488BB3BB" w:rsidR="00C47465" w:rsidRPr="003B1DEA" w:rsidRDefault="00C47465" w:rsidP="00C47465">
            <w:pPr>
              <w:jc w:val="center"/>
              <w:rPr>
                <w:rFonts w:cs="Arial"/>
              </w:rPr>
            </w:pPr>
            <w:r w:rsidRPr="00290D9F">
              <w:rPr>
                <w:rFonts w:eastAsia="BatangChe"/>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429C94F" w14:textId="327ADB03" w:rsidR="00C47465" w:rsidRDefault="00C47465" w:rsidP="00C47465">
            <w:pPr>
              <w:snapToGrid w:val="0"/>
            </w:pPr>
            <w:r w:rsidRPr="00290D9F">
              <w:rPr>
                <w:rFonts w:eastAsia="Malgun Gothic"/>
                <w:lang w:eastAsia="ko-KR"/>
              </w:rPr>
              <w:t>Support option 4</w:t>
            </w:r>
          </w:p>
        </w:tc>
      </w:tr>
      <w:tr w:rsidR="002A52C8" w14:paraId="5EA975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4C6927" w14:textId="206072A7" w:rsidR="002A52C8" w:rsidRPr="00290D9F" w:rsidRDefault="002A52C8" w:rsidP="00C47465">
            <w:pPr>
              <w:jc w:val="center"/>
              <w:rPr>
                <w:rFonts w:eastAsia="BatangChe"/>
                <w:lang w:eastAsia="ko-KR"/>
              </w:rPr>
            </w:pPr>
            <w:r>
              <w:rPr>
                <w:rFonts w:eastAsia="BatangChe"/>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776AFE44" w14:textId="2F1B34C7" w:rsidR="002A52C8" w:rsidRPr="00290D9F" w:rsidRDefault="002A52C8" w:rsidP="00C47465">
            <w:pPr>
              <w:snapToGrid w:val="0"/>
              <w:rPr>
                <w:rFonts w:eastAsia="Malgun Gothic"/>
                <w:lang w:eastAsia="ko-KR"/>
              </w:rPr>
            </w:pPr>
            <w:r>
              <w:rPr>
                <w:rFonts w:eastAsia="Malgun Gothic"/>
                <w:lang w:eastAsia="ko-KR"/>
              </w:rPr>
              <w:t>Option 4</w:t>
            </w:r>
          </w:p>
        </w:tc>
      </w:tr>
      <w:tr w:rsidR="005C5B39" w14:paraId="6168693D" w14:textId="77777777" w:rsidTr="00611A5B">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EADCC4" w14:textId="5BBE4792" w:rsidR="005C5B39" w:rsidRPr="00C0523F" w:rsidRDefault="005C5B39" w:rsidP="00611A5B">
            <w:pPr>
              <w:jc w:val="center"/>
              <w:rPr>
                <w:rFonts w:eastAsiaTheme="minorEastAsia"/>
              </w:rPr>
            </w:pPr>
            <w:r>
              <w:rPr>
                <w:rFonts w:eastAsiaTheme="minorEastAsia" w:hint="eastAsia"/>
              </w:rPr>
              <w:t>C</w:t>
            </w:r>
            <w:r>
              <w:rPr>
                <w:rFonts w:eastAsiaTheme="minorEastAsia"/>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2D243740" w14:textId="2DCCA281" w:rsidR="005C5B39" w:rsidRPr="00290D9F" w:rsidRDefault="005C5B39" w:rsidP="00611A5B">
            <w:pPr>
              <w:snapToGrid w:val="0"/>
              <w:rPr>
                <w:rFonts w:eastAsia="Malgun Gothic"/>
                <w:lang w:eastAsia="ko-KR"/>
              </w:rPr>
            </w:pPr>
            <w:r>
              <w:rPr>
                <w:rFonts w:eastAsia="Malgun Gothic"/>
                <w:lang w:eastAsia="ko-KR"/>
              </w:rPr>
              <w:t>Support the proposal, option 2 is slightly preferred.</w:t>
            </w:r>
          </w:p>
        </w:tc>
      </w:tr>
      <w:tr w:rsidR="005C5B39" w14:paraId="6881D1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7570D1" w14:textId="77777777" w:rsidR="005C5B39" w:rsidRPr="005C5B39" w:rsidRDefault="005C5B39" w:rsidP="00C47465">
            <w:pPr>
              <w:jc w:val="center"/>
              <w:rPr>
                <w:rFonts w:eastAsia="BatangChe"/>
                <w:lang w:eastAsia="ko-KR"/>
              </w:rPr>
            </w:pPr>
          </w:p>
        </w:tc>
        <w:tc>
          <w:tcPr>
            <w:tcW w:w="6840" w:type="dxa"/>
            <w:tcBorders>
              <w:top w:val="single" w:sz="4" w:space="0" w:color="auto"/>
              <w:left w:val="single" w:sz="4" w:space="0" w:color="auto"/>
              <w:bottom w:val="single" w:sz="4" w:space="0" w:color="auto"/>
              <w:right w:val="single" w:sz="4" w:space="0" w:color="auto"/>
            </w:tcBorders>
            <w:vAlign w:val="center"/>
          </w:tcPr>
          <w:p w14:paraId="2075F697" w14:textId="77777777" w:rsidR="005C5B39" w:rsidRDefault="005C5B39" w:rsidP="00C47465">
            <w:pPr>
              <w:snapToGrid w:val="0"/>
              <w:rPr>
                <w:rFonts w:eastAsia="Malgun Gothic"/>
                <w:lang w:eastAsia="ko-KR"/>
              </w:rPr>
            </w:pPr>
          </w:p>
        </w:tc>
      </w:tr>
    </w:tbl>
    <w:p w14:paraId="566811A8"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17A2F72"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ListParagraph"/>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t xml:space="preserve">12 companies [Samsung,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OPPO, Apple, NTT DOCOMO, Xiaomi,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CMCC].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ListParagraph"/>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460E72" w14:paraId="241DB207"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9"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t>“NACK” bits are pre-known at gNB.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t>At the last meeting, processing time for disabled feedback was agreed, which is that processing time between the last PDSCH and the next PDCCH is ensured by gNB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9"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r>
              <w:rPr>
                <w:rFonts w:cs="Arial" w:hint="eastAsia"/>
              </w:rPr>
              <w:t>Xiao</w:t>
            </w:r>
            <w:r>
              <w:rPr>
                <w:rFonts w:cs="Arial"/>
              </w:rPr>
              <w:t>mi</w:t>
            </w:r>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ption 1 can relax the decoding timeline in the UE side and relax the scheduling timeline in the gNB side.</w:t>
            </w:r>
          </w:p>
        </w:tc>
      </w:tr>
      <w:tr w:rsidR="00460E72" w14:paraId="692EDF4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9"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 xml:space="preserve">If Option 2 is supported and if NACK feedback is received for the feedback-disabled HARQ process, the gNB may not need to wait to RLC ARQ feedback, but to </w:t>
            </w:r>
            <w:proofErr w:type="spellStart"/>
            <w:r>
              <w:t>qucikly</w:t>
            </w:r>
            <w:proofErr w:type="spellEnd"/>
            <w:r>
              <w:t xml:space="preserve">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gNB</w:t>
            </w:r>
            <w:r>
              <w:rPr>
                <w:rFonts w:hint="eastAsia"/>
              </w:rPr>
              <w:t>.</w:t>
            </w:r>
          </w:p>
        </w:tc>
      </w:tr>
      <w:tr w:rsidR="00460E72" w14:paraId="1211756C"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9"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This option will allow for the maximum amount of information to be conveyed from the UE to the gNB. If the UE is to provide Type-1 codebook we may as well carry the information that is available (as already pointed out during the online session).</w:t>
            </w:r>
          </w:p>
        </w:tc>
      </w:tr>
      <w:tr w:rsidR="00460E72" w14:paraId="5154513E" w14:textId="77777777" w:rsidTr="00C47465">
        <w:trPr>
          <w:trHeight w:val="3639"/>
        </w:trPr>
        <w:tc>
          <w:tcPr>
            <w:tcW w:w="728"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proofErr w:type="spellStart"/>
            <w:r>
              <w:rPr>
                <w:rFonts w:cs="Arial"/>
              </w:rPr>
              <w:t>Baicells</w:t>
            </w:r>
            <w:proofErr w:type="spellEnd"/>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39"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 xml:space="preserve">For Option-1, the decoding gain in </w:t>
            </w:r>
            <w:proofErr w:type="spellStart"/>
            <w:r>
              <w:t>coodbook</w:t>
            </w:r>
            <w:proofErr w:type="spellEnd"/>
            <w:r>
              <w:t xml:space="preserve">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what is disabled for a disabled HARQ? </w:t>
            </w:r>
          </w:p>
          <w:p w14:paraId="371C3CC6" w14:textId="77777777" w:rsidR="00460E72" w:rsidRDefault="00A748DC">
            <w:pPr>
              <w:snapToGrid w:val="0"/>
              <w:rPr>
                <w:iCs/>
              </w:rPr>
            </w:pPr>
            <w:r>
              <w:rPr>
                <w:rFonts w:hint="eastAsia"/>
                <w:bCs/>
              </w:rPr>
              <w:t xml:space="preserve">Maybe we shall change the wording </w:t>
            </w:r>
            <w:r>
              <w:t>“feedback-</w:t>
            </w:r>
            <w:proofErr w:type="gramStart"/>
            <w:r>
              <w:t xml:space="preserve">disabled” </w:t>
            </w:r>
            <w:r>
              <w:rPr>
                <w:rFonts w:hint="eastAsia"/>
                <w:bCs/>
              </w:rPr>
              <w:t xml:space="preserve"> to</w:t>
            </w:r>
            <w:proofErr w:type="gramEnd"/>
            <w:r>
              <w:rPr>
                <w:rFonts w:hint="eastAsia"/>
                <w:bCs/>
              </w:rPr>
              <w:t xml:space="preserve"> </w:t>
            </w:r>
            <w:r>
              <w:rPr>
                <w:bCs/>
              </w:rPr>
              <w:t>“</w:t>
            </w:r>
            <w:r>
              <w:rPr>
                <w:rFonts w:hint="eastAsia"/>
                <w:bCs/>
              </w:rPr>
              <w:t>re</w:t>
            </w:r>
            <w:r>
              <w:rPr>
                <w:bCs/>
              </w:rPr>
              <w:t>-</w:t>
            </w:r>
            <w:r>
              <w:rPr>
                <w:rFonts w:hint="eastAsia"/>
                <w:bCs/>
              </w:rPr>
              <w:t>transmission disabled</w:t>
            </w:r>
            <w:r>
              <w:rPr>
                <w:bCs/>
              </w:rPr>
              <w:t>”</w:t>
            </w:r>
            <w:r>
              <w:rPr>
                <w:rFonts w:hint="eastAsia"/>
                <w:bCs/>
              </w:rPr>
              <w:t>.</w:t>
            </w:r>
          </w:p>
        </w:tc>
      </w:tr>
      <w:tr w:rsidR="00C47465" w14:paraId="57CB6FF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ABDA525" w14:textId="3F320DD3" w:rsidR="00C47465" w:rsidRDefault="00C47465" w:rsidP="00C47465">
            <w:pPr>
              <w:jc w:val="center"/>
              <w:rPr>
                <w:rFonts w:cs="Arial"/>
              </w:rPr>
            </w:pPr>
            <w:r>
              <w:rPr>
                <w:rFonts w:eastAsia="Malgun Gothic" w:cs="Arial" w:hint="eastAsia"/>
                <w:lang w:eastAsia="ko-KR"/>
              </w:rPr>
              <w:t>LG</w:t>
            </w:r>
          </w:p>
        </w:tc>
        <w:tc>
          <w:tcPr>
            <w:tcW w:w="733" w:type="pct"/>
            <w:tcBorders>
              <w:top w:val="single" w:sz="4" w:space="0" w:color="auto"/>
              <w:left w:val="single" w:sz="4" w:space="0" w:color="auto"/>
              <w:bottom w:val="single" w:sz="4" w:space="0" w:color="auto"/>
              <w:right w:val="single" w:sz="4" w:space="0" w:color="auto"/>
            </w:tcBorders>
          </w:tcPr>
          <w:p w14:paraId="48754C51" w14:textId="7E4934EF" w:rsidR="00C47465" w:rsidRDefault="00C47465" w:rsidP="00C47465">
            <w:pPr>
              <w:snapToGrid w:val="0"/>
              <w:ind w:left="360"/>
            </w:pPr>
            <w:r>
              <w:rPr>
                <w:rFonts w:eastAsia="Malgun Gothic" w:hint="eastAsia"/>
                <w:lang w:eastAsia="ko-KR"/>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56FD8B07" w14:textId="5980BA7F" w:rsidR="00C47465" w:rsidRDefault="00C47465" w:rsidP="00C47465">
            <w:pPr>
              <w:snapToGrid w:val="0"/>
              <w:spacing w:before="0" w:beforeAutospacing="0" w:after="120"/>
            </w:pPr>
            <w:r>
              <w:rPr>
                <w:rFonts w:eastAsia="Malgun Gothic" w:hint="eastAsia"/>
                <w:lang w:eastAsia="ko-KR"/>
              </w:rPr>
              <w:t xml:space="preserve">Option 2 can carry more information. </w:t>
            </w:r>
          </w:p>
        </w:tc>
      </w:tr>
      <w:tr w:rsidR="002A5932" w:rsidRPr="005C4B14" w14:paraId="0DAC5183" w14:textId="77777777" w:rsidTr="00611A5B">
        <w:tc>
          <w:tcPr>
            <w:tcW w:w="728" w:type="pct"/>
            <w:tcBorders>
              <w:top w:val="single" w:sz="4" w:space="0" w:color="auto"/>
              <w:left w:val="single" w:sz="4" w:space="0" w:color="auto"/>
              <w:bottom w:val="single" w:sz="4" w:space="0" w:color="auto"/>
              <w:right w:val="single" w:sz="4" w:space="0" w:color="auto"/>
            </w:tcBorders>
            <w:vAlign w:val="center"/>
          </w:tcPr>
          <w:p w14:paraId="27022C5F" w14:textId="77777777" w:rsidR="002A5932" w:rsidRPr="004B5C91" w:rsidRDefault="002A5932" w:rsidP="00611A5B">
            <w:pPr>
              <w:jc w:val="center"/>
              <w:rPr>
                <w:rFonts w:eastAsiaTheme="minorEastAsia" w:cs="Arial"/>
              </w:rPr>
            </w:pPr>
            <w:r>
              <w:rPr>
                <w:rFonts w:eastAsiaTheme="minorEastAsia" w:cs="Arial" w:hint="eastAsia"/>
              </w:rPr>
              <w:t>C</w:t>
            </w:r>
            <w:r>
              <w:rPr>
                <w:rFonts w:eastAsiaTheme="minorEastAsia" w:cs="Arial"/>
              </w:rPr>
              <w:t>AICT</w:t>
            </w:r>
          </w:p>
        </w:tc>
        <w:tc>
          <w:tcPr>
            <w:tcW w:w="733" w:type="pct"/>
            <w:tcBorders>
              <w:top w:val="single" w:sz="4" w:space="0" w:color="auto"/>
              <w:left w:val="single" w:sz="4" w:space="0" w:color="auto"/>
              <w:bottom w:val="single" w:sz="4" w:space="0" w:color="auto"/>
              <w:right w:val="single" w:sz="4" w:space="0" w:color="auto"/>
            </w:tcBorders>
          </w:tcPr>
          <w:p w14:paraId="196CF9B4" w14:textId="77777777" w:rsidR="002A5932" w:rsidRPr="00187478" w:rsidRDefault="002A5932" w:rsidP="00611A5B">
            <w:pPr>
              <w:snapToGrid w:val="0"/>
              <w:ind w:left="360"/>
              <w:rPr>
                <w:rFonts w:eastAsiaTheme="minorEastAsia"/>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04B422EB" w14:textId="77777777" w:rsidR="002A5932" w:rsidRPr="005C4B14" w:rsidRDefault="002A5932" w:rsidP="00611A5B">
            <w:pPr>
              <w:snapToGrid w:val="0"/>
              <w:spacing w:before="0" w:beforeAutospacing="0" w:after="120"/>
              <w:rPr>
                <w:rFonts w:eastAsiaTheme="minorEastAsia"/>
              </w:rPr>
            </w:pPr>
            <w:r>
              <w:rPr>
                <w:rFonts w:eastAsiaTheme="minorEastAsia" w:hint="eastAsia"/>
              </w:rPr>
              <w:t>M</w:t>
            </w:r>
            <w:r>
              <w:rPr>
                <w:rFonts w:eastAsiaTheme="minorEastAsia"/>
              </w:rPr>
              <w:t>ore information could be provided with option 2. There could be no impacts on the p</w:t>
            </w:r>
            <w:r w:rsidRPr="005C4B14">
              <w:rPr>
                <w:rFonts w:eastAsiaTheme="minorEastAsia"/>
              </w:rPr>
              <w:t>rocessing time</w:t>
            </w:r>
            <w:r>
              <w:rPr>
                <w:rFonts w:eastAsiaTheme="minorEastAsia"/>
              </w:rPr>
              <w:t xml:space="preserve">line since how to use the reported HARQ-ACK corresponding to </w:t>
            </w:r>
            <w:r>
              <w:rPr>
                <w:bCs/>
              </w:rPr>
              <w:t xml:space="preserve">feedback-disabled HARQ process depends on </w:t>
            </w:r>
            <w:proofErr w:type="spellStart"/>
            <w:r>
              <w:rPr>
                <w:bCs/>
              </w:rPr>
              <w:t>gNB</w:t>
            </w:r>
            <w:proofErr w:type="spellEnd"/>
            <w:r>
              <w:rPr>
                <w:bCs/>
              </w:rPr>
              <w:t>.</w:t>
            </w:r>
          </w:p>
        </w:tc>
      </w:tr>
      <w:tr w:rsidR="002A5932" w14:paraId="0D47979D"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5A7DF66" w14:textId="747ACCFA" w:rsidR="002A5932" w:rsidRPr="002A5932" w:rsidRDefault="00BD6375" w:rsidP="00C47465">
            <w:pPr>
              <w:jc w:val="center"/>
              <w:rPr>
                <w:rFonts w:eastAsia="Malgun Gothic" w:cs="Arial"/>
                <w:lang w:eastAsia="ko-KR"/>
              </w:rPr>
            </w:pPr>
            <w:r>
              <w:rPr>
                <w:rFonts w:eastAsia="Malgun Gothic" w:cs="Arial"/>
                <w:lang w:eastAsia="ko-KR"/>
              </w:rPr>
              <w:t>QC</w:t>
            </w:r>
          </w:p>
        </w:tc>
        <w:tc>
          <w:tcPr>
            <w:tcW w:w="733" w:type="pct"/>
            <w:tcBorders>
              <w:top w:val="single" w:sz="4" w:space="0" w:color="auto"/>
              <w:left w:val="single" w:sz="4" w:space="0" w:color="auto"/>
              <w:bottom w:val="single" w:sz="4" w:space="0" w:color="auto"/>
              <w:right w:val="single" w:sz="4" w:space="0" w:color="auto"/>
            </w:tcBorders>
          </w:tcPr>
          <w:p w14:paraId="24323F4C" w14:textId="5E425DA8" w:rsidR="002A5932" w:rsidRDefault="00BD6375" w:rsidP="00C47465">
            <w:pPr>
              <w:snapToGrid w:val="0"/>
              <w:ind w:left="360"/>
              <w:rPr>
                <w:rFonts w:eastAsia="Malgun Gothic"/>
                <w:lang w:eastAsia="ko-KR"/>
              </w:rPr>
            </w:pPr>
            <w:r>
              <w:rPr>
                <w:rFonts w:eastAsia="Malgun Gothic"/>
                <w:lang w:eastAsia="ko-KR"/>
              </w:rP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64CC17B2" w14:textId="529B6C63" w:rsidR="002A5932" w:rsidRDefault="004B6C1D" w:rsidP="00C47465">
            <w:pPr>
              <w:snapToGrid w:val="0"/>
              <w:spacing w:before="0" w:beforeAutospacing="0" w:after="120"/>
              <w:rPr>
                <w:rFonts w:eastAsia="Malgun Gothic"/>
                <w:lang w:eastAsia="ko-KR"/>
              </w:rPr>
            </w:pPr>
            <w:r>
              <w:rPr>
                <w:rFonts w:eastAsia="Malgun Gothic"/>
                <w:lang w:eastAsia="ko-KR"/>
              </w:rPr>
              <w:t xml:space="preserve">Option 1 provides better decoding performance and allow </w:t>
            </w:r>
            <w:r w:rsidR="00142FE4">
              <w:rPr>
                <w:rFonts w:eastAsia="Malgun Gothic"/>
                <w:lang w:eastAsia="ko-KR"/>
              </w:rPr>
              <w:t>more flexible processing and buffer management at UE.</w:t>
            </w:r>
          </w:p>
          <w:p w14:paraId="36B30806" w14:textId="4879B1CB" w:rsidR="00142FE4" w:rsidRDefault="00E261E0" w:rsidP="00C47465">
            <w:pPr>
              <w:snapToGrid w:val="0"/>
              <w:spacing w:before="0" w:beforeAutospacing="0" w:after="120"/>
              <w:rPr>
                <w:rFonts w:eastAsia="Malgun Gothic"/>
                <w:lang w:eastAsia="ko-KR"/>
              </w:rPr>
            </w:pPr>
            <w:r>
              <w:rPr>
                <w:rFonts w:eastAsia="Malgun Gothic"/>
                <w:lang w:eastAsia="ko-KR"/>
              </w:rPr>
              <w:t xml:space="preserve">If additional decoding statistic information is needed by the network, additional UCI can be designed. Using HARQ feedback to provide statistic information is </w:t>
            </w:r>
            <w:r w:rsidR="00A32CCA">
              <w:rPr>
                <w:rFonts w:eastAsia="Malgun Gothic"/>
                <w:lang w:eastAsia="ko-KR"/>
              </w:rPr>
              <w:t>very inefficient.</w:t>
            </w:r>
            <w:r w:rsidR="00035D67">
              <w:rPr>
                <w:rFonts w:eastAsia="Malgun Gothic"/>
                <w:lang w:eastAsia="ko-KR"/>
              </w:rPr>
              <w:t xml:space="preserve"> </w:t>
            </w: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t xml:space="preserve">[Initial Proposal 2-3]: </w:t>
      </w:r>
    </w:p>
    <w:p w14:paraId="2E0BA28A" w14:textId="77777777" w:rsidR="00460E72" w:rsidRDefault="00A748DC">
      <w:pPr>
        <w:numPr>
          <w:ilvl w:val="0"/>
          <w:numId w:val="35"/>
        </w:numPr>
        <w:spacing w:after="0"/>
        <w:rPr>
          <w:highlight w:val="yellow"/>
        </w:rPr>
      </w:pPr>
      <w:r>
        <w:rPr>
          <w:bCs/>
          <w:highlight w:val="yellow"/>
        </w:rPr>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r>
              <w:rPr>
                <w:rFonts w:cs="Arial" w:hint="eastAsia"/>
              </w:rPr>
              <w:t>X</w:t>
            </w:r>
            <w:r>
              <w:rPr>
                <w:rFonts w:cs="Arial"/>
              </w:rPr>
              <w:t>iaomi</w:t>
            </w:r>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77777777" w:rsidR="00460E72" w:rsidRDefault="00A748DC">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77777777"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gNB, if UEs do not feedback the HARQ-ACK, then PDCCH DTX can be detected by gNB.</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Pr>
                <w:rFonts w:eastAsiaTheme="minorEastAsia"/>
              </w:rPr>
              <w:t>Only DCI carrying feedback-disabled HARQ process is detected by UE without unsuccessful detection of DCI carrying feedback-enable HARQ process), legacy codebook is generated but dropped. In this case, no ambiguity occurs since neither gNB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legacy codebook is generated but dropped. In this case, ambiguity due to missing detection of DCI for a PDSCH with a feedback-enabled HARQ processes occurs, i.e., gNB expected a HARQ-ACK feedback but UE missed it. But luckily the above ambiguity may be not an issue, since gNB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Furthermore, in Case 2, both PUCCH resource overhead for carrying HARQ-ACK feedback as configured by the gNB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t>As we pointed out during the first round of comments, we would like to have clarified that this is only a viable solution for cases where the UE is not carried on the PUSCH, as it would otherwise crease a risk of gNB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proofErr w:type="spellStart"/>
            <w:r>
              <w:rPr>
                <w:rFonts w:cs="Arial"/>
              </w:rPr>
              <w:t>Baicells</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also agree with Nokia that the issue of multiplexing with other UCI should be </w:t>
            </w:r>
            <w:r w:rsidR="004165F1">
              <w:t>clarified</w:t>
            </w:r>
            <w:r>
              <w:t>.</w:t>
            </w:r>
          </w:p>
        </w:tc>
      </w:tr>
      <w:tr w:rsidR="00030665" w14:paraId="07486765"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29DC1F" w14:textId="15070CD5" w:rsidR="00030665" w:rsidRPr="00030665" w:rsidRDefault="00030665" w:rsidP="00030665">
            <w:pPr>
              <w:jc w:val="center"/>
              <w:rPr>
                <w:rFonts w:cs="Arial"/>
              </w:rPr>
            </w:pPr>
            <w:r>
              <w:rPr>
                <w:rFonts w:cs="Arial" w:hint="eastAsia"/>
              </w:rPr>
              <w:t>OPPO</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EEE4E8E" w14:textId="4A83F10A" w:rsidR="00030665" w:rsidRPr="00A748DC" w:rsidRDefault="00030665" w:rsidP="00030665">
            <w:pPr>
              <w:snapToGrid w:val="0"/>
              <w:ind w:leftChars="9" w:left="22"/>
            </w:pPr>
            <w:r>
              <w:rPr>
                <w:rFonts w:hint="eastAsia"/>
              </w:rPr>
              <w:t>Option 1 can be adopted</w:t>
            </w:r>
          </w:p>
        </w:tc>
      </w:tr>
      <w:tr w:rsidR="00C47465" w14:paraId="22AD2FCD"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3547F5D" w14:textId="0C9B26C1" w:rsidR="00C47465" w:rsidRDefault="00C47465" w:rsidP="00C47465">
            <w:pPr>
              <w:jc w:val="center"/>
              <w:rPr>
                <w:rFonts w:cs="Arial"/>
              </w:rPr>
            </w:pPr>
            <w:r>
              <w:rPr>
                <w:rFonts w:eastAsia="Malgun Gothic" w:cs="Arial" w:hint="eastAsia"/>
                <w:lang w:eastAsia="ko-KR"/>
              </w:rPr>
              <w:t>LG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0BA70D12" w14:textId="372A723C" w:rsidR="00C47465" w:rsidRDefault="00C47465" w:rsidP="00C47465">
            <w:pPr>
              <w:snapToGrid w:val="0"/>
              <w:ind w:leftChars="9" w:left="22"/>
            </w:pPr>
            <w:r>
              <w:rPr>
                <w:rFonts w:eastAsia="Malgun Gothic" w:hint="eastAsia"/>
                <w:lang w:eastAsia="ko-KR"/>
              </w:rPr>
              <w:t>Option 2</w:t>
            </w:r>
          </w:p>
        </w:tc>
      </w:tr>
      <w:tr w:rsidR="00F07D37" w:rsidRPr="00306933" w14:paraId="299B5203" w14:textId="77777777" w:rsidTr="00611A5B">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9CC74B0" w14:textId="77777777" w:rsidR="00F07D37" w:rsidRPr="00E37258" w:rsidRDefault="00F07D37" w:rsidP="00611A5B">
            <w:pPr>
              <w:jc w:val="center"/>
              <w:rPr>
                <w:rFonts w:eastAsiaTheme="minorEastAsia" w:cs="Arial"/>
              </w:rPr>
            </w:pPr>
            <w:r>
              <w:rPr>
                <w:rFonts w:eastAsiaTheme="minorEastAsia" w:cs="Arial" w:hint="eastAsia"/>
              </w:rPr>
              <w:t>C</w:t>
            </w:r>
            <w:r>
              <w:rPr>
                <w:rFonts w:eastAsiaTheme="minorEastAsia" w:cs="Arial"/>
              </w:rPr>
              <w:t>AICT</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73A55ADA" w14:textId="77777777" w:rsidR="00F07D37" w:rsidRPr="00306933" w:rsidRDefault="00F07D37" w:rsidP="00611A5B">
            <w:pPr>
              <w:snapToGrid w:val="0"/>
              <w:ind w:leftChars="9" w:left="22"/>
              <w:rPr>
                <w:rFonts w:eastAsiaTheme="minorEastAsia"/>
              </w:rPr>
            </w:pPr>
            <w:r>
              <w:rPr>
                <w:rFonts w:eastAsiaTheme="minorEastAsia" w:hint="eastAsia"/>
              </w:rPr>
              <w:t>O</w:t>
            </w:r>
            <w:r>
              <w:rPr>
                <w:rFonts w:eastAsiaTheme="minorEastAsia"/>
              </w:rPr>
              <w:t>ption 2</w:t>
            </w:r>
          </w:p>
        </w:tc>
      </w:tr>
    </w:tbl>
    <w:p w14:paraId="28320271"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t xml:space="preserve">12 companies [FGI, vivo, ZTE, Xiaomi,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Lenovo/MM, CAICT, LG]</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Panasonic]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1B77E755"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460E72" w14:paraId="54BAA190"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proofErr w:type="spellStart"/>
            <w: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pPr>
            <w:r>
              <w:t>Support.</w:t>
            </w:r>
          </w:p>
        </w:tc>
      </w:tr>
      <w:tr w:rsidR="00030665" w14:paraId="45FD8789"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8AAB951" w14:textId="11719074" w:rsidR="00030665" w:rsidRDefault="00030665" w:rsidP="00030665">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58942287" w14:textId="4CBF6F22" w:rsidR="00030665" w:rsidRDefault="00030665" w:rsidP="00030665">
            <w:pPr>
              <w:snapToGrid w:val="0"/>
            </w:pPr>
            <w:r>
              <w:t>W</w:t>
            </w:r>
            <w:r>
              <w:rPr>
                <w:rFonts w:hint="eastAsia"/>
              </w:rPr>
              <w:t xml:space="preserve">e </w:t>
            </w:r>
            <w:r>
              <w:t>don’t support this proposal. In legacy system, when a UE is configured with a PUCCH group which contains more than one CC. When the UE only receives a PDSCH scheduling from one CC, the UE still reports HARQ-ACK for all the configured CC. This clearly confirms that the type 3 codebook overhead optimization was not an issue in legacy system.</w:t>
            </w:r>
          </w:p>
        </w:tc>
      </w:tr>
      <w:tr w:rsidR="00C47465" w14:paraId="0241153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72C5C44" w14:textId="03E222AF" w:rsidR="00C47465" w:rsidRDefault="00C47465" w:rsidP="00C47465">
            <w:pPr>
              <w:rPr>
                <w:rFonts w:cs="Arial"/>
              </w:rPr>
            </w:pPr>
            <w:r>
              <w:rPr>
                <w:rFonts w:eastAsia="Malgun Gothic" w:hint="eastAsia"/>
                <w:lang w:eastAsia="ko-KR"/>
              </w:rPr>
              <w:t>LG</w:t>
            </w:r>
          </w:p>
        </w:tc>
        <w:tc>
          <w:tcPr>
            <w:tcW w:w="4145" w:type="pct"/>
            <w:tcBorders>
              <w:top w:val="single" w:sz="4" w:space="0" w:color="auto"/>
              <w:left w:val="single" w:sz="4" w:space="0" w:color="auto"/>
              <w:bottom w:val="single" w:sz="4" w:space="0" w:color="auto"/>
              <w:right w:val="single" w:sz="4" w:space="0" w:color="auto"/>
            </w:tcBorders>
            <w:vAlign w:val="center"/>
          </w:tcPr>
          <w:p w14:paraId="6BDC6CA6" w14:textId="155935E5" w:rsidR="00C47465" w:rsidRDefault="00C47465" w:rsidP="00C47465">
            <w:pPr>
              <w:snapToGrid w:val="0"/>
            </w:pPr>
            <w:r>
              <w:rPr>
                <w:rFonts w:eastAsia="Malgun Gothic"/>
                <w:lang w:eastAsia="ko-KR"/>
              </w:rPr>
              <w:t>We are generally ok with proposal. But, as Apple pointed, the proposal need to revise in terms of codebook generation. So, we suggest to change “</w:t>
            </w:r>
            <w:r>
              <w:t xml:space="preserve">Type-3 HARQ codebook only includes the feedback bits for HARQ process with feedback enabled”. </w:t>
            </w:r>
          </w:p>
        </w:tc>
      </w:tr>
      <w:tr w:rsidR="00F07D37" w:rsidRPr="00306933" w14:paraId="6B5012F0" w14:textId="77777777" w:rsidTr="00611A5B">
        <w:tc>
          <w:tcPr>
            <w:tcW w:w="855" w:type="pct"/>
            <w:tcBorders>
              <w:top w:val="single" w:sz="4" w:space="0" w:color="auto"/>
              <w:left w:val="single" w:sz="4" w:space="0" w:color="auto"/>
              <w:bottom w:val="single" w:sz="4" w:space="0" w:color="auto"/>
              <w:right w:val="single" w:sz="4" w:space="0" w:color="auto"/>
            </w:tcBorders>
            <w:vAlign w:val="center"/>
          </w:tcPr>
          <w:p w14:paraId="55D0680B" w14:textId="77777777" w:rsidR="00F07D37" w:rsidRPr="00306933" w:rsidRDefault="00F07D37" w:rsidP="00611A5B">
            <w:pPr>
              <w:rPr>
                <w:rFonts w:eastAsiaTheme="minorEastAsia"/>
              </w:rPr>
            </w:pPr>
            <w:r>
              <w:rPr>
                <w:rFonts w:eastAsiaTheme="minorEastAsia" w:hint="eastAsia"/>
              </w:rPr>
              <w:t>C</w:t>
            </w:r>
            <w:r>
              <w:rPr>
                <w:rFonts w:eastAsiaTheme="minorEastAsia"/>
              </w:rPr>
              <w:t>AICT</w:t>
            </w:r>
          </w:p>
        </w:tc>
        <w:tc>
          <w:tcPr>
            <w:tcW w:w="4145" w:type="pct"/>
            <w:tcBorders>
              <w:top w:val="single" w:sz="4" w:space="0" w:color="auto"/>
              <w:left w:val="single" w:sz="4" w:space="0" w:color="auto"/>
              <w:bottom w:val="single" w:sz="4" w:space="0" w:color="auto"/>
              <w:right w:val="single" w:sz="4" w:space="0" w:color="auto"/>
            </w:tcBorders>
            <w:vAlign w:val="center"/>
          </w:tcPr>
          <w:p w14:paraId="37344537" w14:textId="77777777" w:rsidR="00F07D37" w:rsidRPr="00306933" w:rsidRDefault="00F07D37" w:rsidP="00611A5B">
            <w:pPr>
              <w:snapToGrid w:val="0"/>
              <w:rPr>
                <w:rFonts w:eastAsiaTheme="minorEastAsia"/>
              </w:rPr>
            </w:pPr>
            <w:r>
              <w:rPr>
                <w:rFonts w:eastAsiaTheme="minorEastAsia"/>
              </w:rPr>
              <w:t>Support the proposal</w:t>
            </w:r>
          </w:p>
        </w:tc>
      </w:tr>
      <w:tr w:rsidR="00F07D37" w14:paraId="3248F8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767F09D6" w14:textId="7C913C89" w:rsidR="00F07D37" w:rsidRDefault="00037738" w:rsidP="00C47465">
            <w:pPr>
              <w:rPr>
                <w:rFonts w:eastAsia="Malgun Gothic"/>
                <w:lang w:eastAsia="ko-KR"/>
              </w:rPr>
            </w:pPr>
            <w:r>
              <w:rPr>
                <w:rFonts w:eastAsia="Malgun Gothic"/>
                <w:lang w:eastAsia="ko-KR"/>
              </w:rPr>
              <w:t>QC</w:t>
            </w:r>
          </w:p>
        </w:tc>
        <w:tc>
          <w:tcPr>
            <w:tcW w:w="4145" w:type="pct"/>
            <w:tcBorders>
              <w:top w:val="single" w:sz="4" w:space="0" w:color="auto"/>
              <w:left w:val="single" w:sz="4" w:space="0" w:color="auto"/>
              <w:bottom w:val="single" w:sz="4" w:space="0" w:color="auto"/>
              <w:right w:val="single" w:sz="4" w:space="0" w:color="auto"/>
            </w:tcBorders>
            <w:vAlign w:val="center"/>
          </w:tcPr>
          <w:p w14:paraId="02A941AB" w14:textId="17FEAD46" w:rsidR="00F07D37" w:rsidRDefault="00037738" w:rsidP="00C47465">
            <w:pPr>
              <w:snapToGrid w:val="0"/>
              <w:rPr>
                <w:rFonts w:eastAsia="Malgun Gothic"/>
                <w:lang w:eastAsia="ko-KR"/>
              </w:rPr>
            </w:pPr>
            <w:r>
              <w:rPr>
                <w:rFonts w:eastAsia="Malgun Gothic"/>
                <w:lang w:eastAsia="ko-KR"/>
              </w:rPr>
              <w:t xml:space="preserve">Support. </w:t>
            </w:r>
            <w:r w:rsidR="00985D44">
              <w:rPr>
                <w:rFonts w:eastAsia="Malgun Gothic"/>
                <w:lang w:eastAsia="ko-KR"/>
              </w:rPr>
              <w:t>And support th</w:t>
            </w:r>
            <w:r w:rsidR="001978CC">
              <w:rPr>
                <w:rFonts w:eastAsia="Malgun Gothic"/>
                <w:lang w:eastAsia="ko-KR"/>
              </w:rPr>
              <w:t>e r</w:t>
            </w:r>
            <w:r w:rsidR="00985D44">
              <w:rPr>
                <w:rFonts w:eastAsia="Malgun Gothic"/>
                <w:lang w:eastAsia="ko-KR"/>
              </w:rPr>
              <w:t>evision of the wording proposed by LG</w:t>
            </w:r>
            <w:r w:rsidR="001978CC">
              <w:rPr>
                <w:rFonts w:eastAsia="Malgun Gothic"/>
                <w:lang w:eastAsia="ko-KR"/>
              </w:rPr>
              <w:t>.</w:t>
            </w:r>
          </w:p>
        </w:tc>
      </w:tr>
    </w:tbl>
    <w:p w14:paraId="529989F6"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t xml:space="preserve">14 companies [Nokia, FGI, NTT DOCOMO, vivo, ZTE, </w:t>
      </w:r>
      <w:proofErr w:type="spellStart"/>
      <w:r>
        <w:rPr>
          <w:rFonts w:eastAsiaTheme="minorEastAsia"/>
        </w:rPr>
        <w:t>Baicells</w:t>
      </w:r>
      <w:proofErr w:type="spellEnd"/>
      <w:r>
        <w:rPr>
          <w:rFonts w:eastAsiaTheme="minorEastAsia"/>
        </w:rPr>
        <w:t xml:space="preserve">, Huawei, Ericsson, ITL, Qualcomm, </w:t>
      </w:r>
      <w:proofErr w:type="spellStart"/>
      <w:r>
        <w:rPr>
          <w:rFonts w:eastAsiaTheme="minorEastAsia"/>
        </w:rPr>
        <w:t>Spreadtrum</w:t>
      </w:r>
      <w:proofErr w:type="spellEnd"/>
      <w:r>
        <w:rPr>
          <w:rFonts w:eastAsiaTheme="minorEastAsia"/>
        </w:rPr>
        <w:t>, Lenovo/MM,</w:t>
      </w:r>
      <w:r>
        <w:rPr>
          <w:rFonts w:cs="Arial"/>
        </w:rPr>
        <w:t xml:space="preserve"> LG, CMCC</w:t>
      </w:r>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 xml:space="preserve">But 5 companies [OPPO, Samsung, Apple, Panasonic, NEC] object this </w:t>
      </w:r>
      <w:proofErr w:type="gramStart"/>
      <w:r>
        <w:rPr>
          <w:rFonts w:eastAsiaTheme="minorEastAsia"/>
        </w:rPr>
        <w:t>proposal.[</w:t>
      </w:r>
      <w:proofErr w:type="gramEnd"/>
      <w:r>
        <w:rPr>
          <w:rFonts w:eastAsiaTheme="minorEastAsia"/>
        </w:rPr>
        <w:t xml:space="preserve">Samsung] comments the benefit and </w:t>
      </w:r>
      <w:r>
        <w:t>A specification impact and gNB/UE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t>Besides, [Xiaomi]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t>FFS: the UE’s behavior</w:t>
      </w:r>
    </w:p>
    <w:p w14:paraId="5AC73DC5" w14:textId="77777777" w:rsidR="00460E72" w:rsidRDefault="00A748DC">
      <w:pPr>
        <w:numPr>
          <w:ilvl w:val="1"/>
          <w:numId w:val="35"/>
        </w:numPr>
        <w:spacing w:after="0"/>
        <w:rPr>
          <w:bCs/>
          <w:highlight w:val="yellow"/>
        </w:rPr>
      </w:pPr>
      <w:r>
        <w:rPr>
          <w:bCs/>
          <w:highlight w:val="yellow"/>
        </w:rPr>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Misalignment between gNB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Option-1. As analyzed in our contribution, the values of C-DAI and T-DAI can be used as assistance information for UE to know the miss detection of PDCCH scheduling the HARQ feedback enabled PDSCH for some cases. It is beneficial that UE should read the information of C-DAI and T-DAI. In addition, UE will decode all the bits anyway as they are encoded by the same channel encoder, there is no extra complexity when 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 xml:space="preserve">Probably the proposal should be updated to reflect that it is related to Type-2 HARQ codebook. As earlier stated, we have a preference for the option 1. It is not exactly clear to us what is expected in terms of describing the UE </w:t>
            </w:r>
            <w:proofErr w:type="spellStart"/>
            <w:r>
              <w:t>behaviour</w:t>
            </w:r>
            <w:proofErr w:type="spellEnd"/>
            <w:r>
              <w:t>.</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proofErr w:type="spellStart"/>
            <w:r>
              <w:rPr>
                <w:rFonts w:cs="Arial"/>
              </w:rP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r w:rsidR="00030665" w14:paraId="4E4DE9D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F0F9F63" w14:textId="2232724A" w:rsidR="00030665" w:rsidRPr="00A748DC" w:rsidRDefault="00030665" w:rsidP="00030665">
            <w:pPr>
              <w:jc w:val="center"/>
              <w:rPr>
                <w:rFonts w:cs="Arial"/>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04574D63" w14:textId="77777777" w:rsidR="00030665" w:rsidRDefault="00030665" w:rsidP="00030665">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14:paraId="244093E7" w14:textId="77777777" w:rsidR="00030665" w:rsidRDefault="00030665" w:rsidP="00030665">
            <w:pPr>
              <w:snapToGrid w:val="0"/>
            </w:pPr>
            <w:r>
              <w:t xml:space="preserve">By the way, whether the FFS point under option 1 includes the UE ignores the C-DAI and T-DAI? if not, please make it clear. Otherwise, the option 2 is sub-set of option 1. </w:t>
            </w:r>
          </w:p>
          <w:p w14:paraId="5C76BC97" w14:textId="77777777" w:rsidR="00030665" w:rsidRPr="00943C7C" w:rsidRDefault="00030665" w:rsidP="00030665">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522DC51F" w14:textId="77777777" w:rsidR="00030665" w:rsidRPr="00BB0985" w:rsidRDefault="00030665" w:rsidP="00030665">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14:paraId="40F00F0D" w14:textId="77777777" w:rsidR="00030665" w:rsidRDefault="00030665" w:rsidP="00030665">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14:paraId="547E48ED" w14:textId="77777777" w:rsidR="00030665" w:rsidRDefault="00030665" w:rsidP="00030665">
            <w:pPr>
              <w:numPr>
                <w:ilvl w:val="2"/>
                <w:numId w:val="35"/>
              </w:numPr>
              <w:spacing w:after="0"/>
              <w:rPr>
                <w:bCs/>
                <w:highlight w:val="yellow"/>
                <w:lang w:eastAsia="x-none"/>
              </w:rPr>
            </w:pPr>
            <w:r>
              <w:rPr>
                <w:bCs/>
                <w:highlight w:val="yellow"/>
                <w:lang w:eastAsia="x-none"/>
              </w:rPr>
              <w:t>FFS: the UE’s behavior</w:t>
            </w:r>
            <w:r>
              <w:rPr>
                <w:bCs/>
                <w:color w:val="FF0000"/>
                <w:highlight w:val="yellow"/>
                <w:lang w:eastAsia="x-none"/>
              </w:rPr>
              <w:t xml:space="preserve">, precluding that the UE ignores the C-DAI and T-DAI. </w:t>
            </w:r>
          </w:p>
          <w:p w14:paraId="0BC098D2" w14:textId="77777777" w:rsidR="00030665" w:rsidRPr="004C1364" w:rsidRDefault="00030665" w:rsidP="00030665">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14:paraId="25627C79" w14:textId="77777777" w:rsidR="00030665" w:rsidRPr="00A748DC" w:rsidRDefault="00030665" w:rsidP="00030665">
            <w:pPr>
              <w:snapToGrid w:val="0"/>
            </w:pPr>
          </w:p>
        </w:tc>
      </w:tr>
      <w:tr w:rsidR="00C47465" w14:paraId="4599B50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DAA5516" w14:textId="4FA36AB2" w:rsidR="00C47465" w:rsidRDefault="00C47465" w:rsidP="00C47465">
            <w:pPr>
              <w:jc w:val="center"/>
              <w:rPr>
                <w:rFonts w:cs="Arial"/>
              </w:rPr>
            </w:pPr>
            <w:r w:rsidRPr="00EA2559">
              <w:rPr>
                <w:rFonts w:eastAsia="BatangChe"/>
                <w:lang w:eastAsia="ko-KR"/>
              </w:rPr>
              <w:t>LG</w:t>
            </w:r>
          </w:p>
        </w:tc>
        <w:tc>
          <w:tcPr>
            <w:tcW w:w="4145" w:type="pct"/>
            <w:tcBorders>
              <w:top w:val="single" w:sz="4" w:space="0" w:color="auto"/>
              <w:left w:val="single" w:sz="4" w:space="0" w:color="auto"/>
              <w:bottom w:val="single" w:sz="4" w:space="0" w:color="auto"/>
              <w:right w:val="single" w:sz="4" w:space="0" w:color="auto"/>
            </w:tcBorders>
            <w:vAlign w:val="center"/>
          </w:tcPr>
          <w:p w14:paraId="2A8EDBF9" w14:textId="4B4117DD" w:rsidR="00C47465" w:rsidRDefault="00C47465" w:rsidP="00C47465">
            <w:pPr>
              <w:snapToGrid w:val="0"/>
            </w:pPr>
            <w:r w:rsidRPr="00EA2559">
              <w:t>Option1</w:t>
            </w:r>
          </w:p>
        </w:tc>
      </w:tr>
      <w:tr w:rsidR="00131562" w14:paraId="2CA17FFE"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2603412" w14:textId="7AE5A1B3" w:rsidR="00131562" w:rsidRPr="00EA2559" w:rsidRDefault="00131562" w:rsidP="00C47465">
            <w:pPr>
              <w:jc w:val="center"/>
              <w:rPr>
                <w:rFonts w:eastAsia="BatangChe"/>
                <w:lang w:eastAsia="ko-KR"/>
              </w:rPr>
            </w:pPr>
            <w:r>
              <w:rPr>
                <w:rFonts w:eastAsia="BatangChe"/>
                <w:lang w:eastAsia="ko-KR"/>
              </w:rPr>
              <w:t>QC</w:t>
            </w:r>
          </w:p>
        </w:tc>
        <w:tc>
          <w:tcPr>
            <w:tcW w:w="4145" w:type="pct"/>
            <w:tcBorders>
              <w:top w:val="single" w:sz="4" w:space="0" w:color="auto"/>
              <w:left w:val="single" w:sz="4" w:space="0" w:color="auto"/>
              <w:bottom w:val="single" w:sz="4" w:space="0" w:color="auto"/>
              <w:right w:val="single" w:sz="4" w:space="0" w:color="auto"/>
            </w:tcBorders>
            <w:vAlign w:val="center"/>
          </w:tcPr>
          <w:p w14:paraId="7FBA6429" w14:textId="5931913B" w:rsidR="00131562" w:rsidRPr="00EA2559" w:rsidRDefault="00131562" w:rsidP="00C47465">
            <w:pPr>
              <w:snapToGrid w:val="0"/>
            </w:pPr>
            <w:r>
              <w:t>Option 1</w:t>
            </w:r>
          </w:p>
        </w:tc>
      </w:tr>
    </w:tbl>
    <w:p w14:paraId="5C1FCD00"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Xiaomi, </w:t>
      </w:r>
      <w:proofErr w:type="spellStart"/>
      <w:r>
        <w:rPr>
          <w:rFonts w:eastAsiaTheme="minorEastAsia"/>
        </w:rPr>
        <w:t>Spreadtrum</w:t>
      </w:r>
      <w:proofErr w:type="spellEnd"/>
      <w:r>
        <w:rPr>
          <w:rFonts w:eastAsiaTheme="minorEastAsia"/>
        </w:rPr>
        <w:t>,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t xml:space="preserve">Regarding details on Alt-1 or Alt-2, </w:t>
      </w:r>
      <w:r>
        <w:rPr>
          <w:rFonts w:eastAsiaTheme="minorEastAsia"/>
        </w:rPr>
        <w:t xml:space="preserve">6 companies [Samsung, FGI, Huawei, Sony, Lenovo/MM, CMCC]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w:t>
      </w:r>
      <w:proofErr w:type="spellStart"/>
      <w:r>
        <w:t>behaviour</w:t>
      </w:r>
      <w:proofErr w:type="spellEnd"/>
      <w:r>
        <w:t xml:space="preserve"> on HARQ-codebook feedback and DCI counting between SPS PDSCH activation and DCI scheduled PDSCH. </w:t>
      </w:r>
      <w:r>
        <w:rPr>
          <w:rFonts w:hint="eastAsia"/>
        </w:rPr>
        <w:t>[</w:t>
      </w:r>
      <w:r>
        <w:t>Xiaomi]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t>If shared, a SPS-Config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r>
              <w:rPr>
                <w:rFonts w:cs="Arial" w:hint="eastAsia"/>
              </w:rPr>
              <w:t>X</w:t>
            </w:r>
            <w:r>
              <w:rPr>
                <w:rFonts w:cs="Arial"/>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r w:rsidR="00030665" w14:paraId="3737F0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6842D3" w14:textId="6D8B0345" w:rsidR="00030665" w:rsidRPr="00A748DC"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9095938" w14:textId="77777777" w:rsidR="00030665" w:rsidRDefault="00030665" w:rsidP="00030665">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14:paraId="46B0633B" w14:textId="77777777" w:rsidR="00030665" w:rsidRPr="00F162A3" w:rsidRDefault="00030665" w:rsidP="00030665">
            <w:pPr>
              <w:ind w:left="410"/>
              <w:rPr>
                <w:rFonts w:eastAsiaTheme="minorEastAsia"/>
                <w:sz w:val="22"/>
                <w:szCs w:val="22"/>
                <w:highlight w:val="yellow"/>
              </w:rPr>
            </w:pPr>
            <w:r w:rsidRPr="00F162A3">
              <w:rPr>
                <w:color w:val="000000" w:themeColor="text1"/>
                <w:sz w:val="22"/>
                <w:szCs w:val="22"/>
                <w:highlight w:val="yellow"/>
              </w:rPr>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14:paraId="65D854BE" w14:textId="77777777" w:rsidR="00030665" w:rsidRPr="00A748DC" w:rsidRDefault="00030665" w:rsidP="00030665">
            <w:pPr>
              <w:snapToGrid w:val="0"/>
              <w:ind w:left="360"/>
              <w:jc w:val="both"/>
            </w:pPr>
          </w:p>
        </w:tc>
      </w:tr>
      <w:tr w:rsidR="00C47465" w14:paraId="3B8621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F60819" w14:textId="06AAA3AD" w:rsidR="00C47465"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5A16400" w14:textId="5B55D872" w:rsidR="00C47465" w:rsidRDefault="00C47465" w:rsidP="00C47465">
            <w:pPr>
              <w:snapToGrid w:val="0"/>
              <w:ind w:left="360"/>
            </w:pPr>
            <w:r>
              <w:rPr>
                <w:rFonts w:eastAsia="Malgun Gothic" w:hint="eastAsia"/>
                <w:lang w:eastAsia="ko-KR"/>
              </w:rPr>
              <w:t>Agree</w:t>
            </w:r>
          </w:p>
        </w:tc>
      </w:tr>
      <w:tr w:rsidR="00A85E85" w14:paraId="66AACF1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9451E8" w14:textId="640D3452" w:rsidR="00A85E85" w:rsidRDefault="00A85E85" w:rsidP="00A85E85">
            <w:pPr>
              <w:jc w:val="center"/>
              <w:rPr>
                <w:rFonts w:eastAsia="Malgun Gothic" w:cs="Arial"/>
                <w:lang w:eastAsia="ko-KR"/>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99D2107" w14:textId="77777777" w:rsidR="00A85E85" w:rsidRDefault="00A85E85" w:rsidP="00A85E85">
            <w:pPr>
              <w:snapToGrid w:val="0"/>
              <w:ind w:left="360"/>
            </w:pPr>
            <w:r>
              <w:rPr>
                <w:rFonts w:hint="eastAsia"/>
              </w:rPr>
              <w:t>A</w:t>
            </w:r>
            <w:r>
              <w:t xml:space="preserve">gree. </w:t>
            </w:r>
          </w:p>
          <w:p w14:paraId="43170F17" w14:textId="4C08F151" w:rsidR="00A85E85" w:rsidRDefault="00A85E85" w:rsidP="00A85E85">
            <w:pPr>
              <w:snapToGrid w:val="0"/>
              <w:ind w:left="360"/>
              <w:rPr>
                <w:rFonts w:eastAsia="Malgun Gothic"/>
                <w:lang w:eastAsia="ko-KR"/>
              </w:rPr>
            </w:pPr>
            <w:r>
              <w:t>We think the configuration of e</w:t>
            </w:r>
            <w:r w:rsidRPr="00420D52">
              <w:t>nabling/disabling HARQ feedback for DL SPS</w:t>
            </w:r>
            <w:r>
              <w:t xml:space="preserve"> </w:t>
            </w:r>
            <w:r w:rsidRPr="00420D52">
              <w:t>is per configuration.</w:t>
            </w:r>
          </w:p>
        </w:tc>
      </w:tr>
      <w:tr w:rsidR="009D0981" w14:paraId="560C491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B846F1" w14:textId="702EE6BC" w:rsidR="009D0981" w:rsidRDefault="009D0981" w:rsidP="00A85E85">
            <w:pPr>
              <w:jc w:val="center"/>
              <w:rPr>
                <w:rFonts w:cs="Arial" w:hint="eastAsia"/>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865F8B" w14:textId="7E4EEF27" w:rsidR="009D0981" w:rsidRDefault="00603EA5" w:rsidP="00A85E85">
            <w:pPr>
              <w:snapToGrid w:val="0"/>
              <w:ind w:left="360"/>
              <w:rPr>
                <w:rFonts w:hint="eastAsia"/>
              </w:rPr>
            </w:pPr>
            <w:r>
              <w:t>Mapping between logi</w:t>
            </w:r>
            <w:r w:rsidR="00346A8A">
              <w:t>c</w:t>
            </w:r>
            <w:r>
              <w:t xml:space="preserve">al channel and HARQ processes is discussed in RAN2. </w:t>
            </w:r>
            <w:r w:rsidR="00346A8A">
              <w:t>Needs to be discussed with RAN2.</w:t>
            </w:r>
          </w:p>
        </w:tc>
      </w:tr>
    </w:tbl>
    <w:p w14:paraId="6820B045" w14:textId="77777777" w:rsidR="00460E72" w:rsidRDefault="00A748DC">
      <w:pPr>
        <w:pStyle w:val="Heading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xml:space="preserve">], 19 companies provide their views, and 16 companies [OPPO, Nokia, Apple, FGI, NTT DOCOMO, vivo, ZTE, Xiaomi, Ericsson, ITL, Qualcomm, Sony, Panasonic, </w:t>
      </w:r>
      <w:proofErr w:type="spellStart"/>
      <w:r>
        <w:rPr>
          <w:rFonts w:eastAsiaTheme="minorEastAsia"/>
        </w:rPr>
        <w:t>Spreadtrum</w:t>
      </w:r>
      <w:proofErr w:type="spellEnd"/>
      <w:r>
        <w:rPr>
          <w:rFonts w:eastAsiaTheme="minorEastAsia"/>
        </w:rPr>
        <w:t>,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w:t>
      </w:r>
      <w:proofErr w:type="spellStart"/>
      <w:r>
        <w:t>OoO</w:t>
      </w:r>
      <w:proofErr w:type="spellEnd"/>
      <w:r>
        <w:t xml:space="preserve"> for feedback-enabled HARQ process, while meaning of </w:t>
      </w:r>
      <w:proofErr w:type="spellStart"/>
      <w:r>
        <w:t>OoO</w:t>
      </w:r>
      <w:proofErr w:type="spellEnd"/>
      <w:r>
        <w:t xml:space="preserve"> for feedback-disabled HARQ process is not clear. [NTT DOCOMO, Huawei, LG]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t>Again, why this restriction is necessary for feedback-disabled? At least several companies have concern on this, so clarification should be presented.</w:t>
            </w:r>
          </w:p>
          <w:p w14:paraId="519E7A79" w14:textId="77777777" w:rsidR="00460E72" w:rsidRDefault="00A748DC">
            <w:pPr>
              <w:snapToGrid w:val="0"/>
              <w:ind w:left="360"/>
            </w:pPr>
            <w:r>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r>
              <w:rPr>
                <w:rFonts w:cs="Arial" w:hint="eastAsia"/>
              </w:rPr>
              <w:t>X</w:t>
            </w:r>
            <w:r>
              <w:rPr>
                <w:rFonts w:cs="Arial"/>
              </w:rPr>
              <w:t>iaomi</w:t>
            </w:r>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 xml:space="preserve">he HARQ-ACK feedback resource assigned can keep the legacy restriction on the </w:t>
            </w:r>
            <w:proofErr w:type="spellStart"/>
            <w:r>
              <w:t>OoO</w:t>
            </w:r>
            <w:proofErr w:type="spellEnd"/>
            <w:r>
              <w:t>, whether the HARQ-ACK feedback is needed 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w:t>
            </w:r>
            <w:proofErr w:type="spellStart"/>
            <w:r>
              <w:t>OoO</w:t>
            </w:r>
            <w:proofErr w:type="spellEnd"/>
            <w:r>
              <w:t xml:space="preserve">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r w:rsidR="00C47465" w14:paraId="15E00B8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FDB75EF" w14:textId="11EB444F" w:rsidR="00C47465" w:rsidRDefault="00C47465" w:rsidP="00C47465">
            <w:pPr>
              <w:jc w:val="center"/>
              <w:rPr>
                <w:rFonts w:cs="Arial"/>
              </w:rPr>
            </w:pPr>
            <w:r>
              <w:rPr>
                <w:rFonts w:cs="Arial"/>
              </w:rPr>
              <w:t>LG</w:t>
            </w:r>
          </w:p>
        </w:tc>
        <w:tc>
          <w:tcPr>
            <w:tcW w:w="4145" w:type="pct"/>
            <w:tcBorders>
              <w:top w:val="single" w:sz="4" w:space="0" w:color="auto"/>
              <w:left w:val="single" w:sz="4" w:space="0" w:color="auto"/>
              <w:bottom w:val="single" w:sz="4" w:space="0" w:color="auto"/>
              <w:right w:val="single" w:sz="4" w:space="0" w:color="auto"/>
            </w:tcBorders>
            <w:vAlign w:val="center"/>
          </w:tcPr>
          <w:p w14:paraId="1148187C" w14:textId="09A84C0A" w:rsidR="00C47465" w:rsidRDefault="00C47465" w:rsidP="00C47465">
            <w:pPr>
              <w:snapToGrid w:val="0"/>
              <w:ind w:left="360"/>
            </w:pPr>
            <w:r>
              <w:t>Agree</w:t>
            </w:r>
          </w:p>
        </w:tc>
      </w:tr>
      <w:tr w:rsidR="002A52C8" w14:paraId="26DB9C7E"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589E6556" w14:textId="2E69845F" w:rsidR="002A52C8" w:rsidRDefault="002A52C8" w:rsidP="00C47465">
            <w:pPr>
              <w:jc w:val="center"/>
              <w:rPr>
                <w:rFonts w:cs="Arial"/>
              </w:rPr>
            </w:pPr>
            <w:r>
              <w:rPr>
                <w:rFonts w:cs="Arial"/>
              </w:rPr>
              <w:t>MediaTek</w:t>
            </w:r>
          </w:p>
        </w:tc>
        <w:tc>
          <w:tcPr>
            <w:tcW w:w="4145" w:type="pct"/>
            <w:tcBorders>
              <w:top w:val="single" w:sz="4" w:space="0" w:color="auto"/>
              <w:left w:val="single" w:sz="4" w:space="0" w:color="auto"/>
              <w:bottom w:val="single" w:sz="4" w:space="0" w:color="auto"/>
              <w:right w:val="single" w:sz="4" w:space="0" w:color="auto"/>
            </w:tcBorders>
            <w:vAlign w:val="center"/>
          </w:tcPr>
          <w:p w14:paraId="4FA277D2" w14:textId="4AC74448" w:rsidR="002A52C8" w:rsidRDefault="002A52C8" w:rsidP="00C47465">
            <w:pPr>
              <w:snapToGrid w:val="0"/>
              <w:ind w:left="360"/>
            </w:pPr>
            <w:r>
              <w:t>Support</w:t>
            </w:r>
          </w:p>
        </w:tc>
      </w:tr>
      <w:tr w:rsidR="00003393" w14:paraId="44F196C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F872D0E" w14:textId="3DA879E7" w:rsidR="00003393" w:rsidRDefault="00003393" w:rsidP="00C47465">
            <w:pPr>
              <w:jc w:val="center"/>
              <w:rPr>
                <w:rFonts w:cs="Arial"/>
              </w:rPr>
            </w:pPr>
            <w:r>
              <w:rPr>
                <w:rFonts w:cs="Arial"/>
              </w:rPr>
              <w:t>QC</w:t>
            </w:r>
          </w:p>
        </w:tc>
        <w:tc>
          <w:tcPr>
            <w:tcW w:w="4145" w:type="pct"/>
            <w:tcBorders>
              <w:top w:val="single" w:sz="4" w:space="0" w:color="auto"/>
              <w:left w:val="single" w:sz="4" w:space="0" w:color="auto"/>
              <w:bottom w:val="single" w:sz="4" w:space="0" w:color="auto"/>
              <w:right w:val="single" w:sz="4" w:space="0" w:color="auto"/>
            </w:tcBorders>
            <w:vAlign w:val="center"/>
          </w:tcPr>
          <w:p w14:paraId="1FD83839" w14:textId="4CEF30B8" w:rsidR="00003393" w:rsidRDefault="00A810F9" w:rsidP="00C47465">
            <w:pPr>
              <w:snapToGrid w:val="0"/>
              <w:ind w:left="360"/>
            </w:pPr>
            <w:r>
              <w:t xml:space="preserve">The </w:t>
            </w:r>
            <w:r w:rsidR="00774972">
              <w:t>issue</w:t>
            </w:r>
            <w:r>
              <w:t xml:space="preserve"> depends on how decisions of codebook construction. </w:t>
            </w:r>
            <w:proofErr w:type="spellStart"/>
            <w:proofErr w:type="gramStart"/>
            <w:r w:rsidR="00774972">
              <w:t>Lets</w:t>
            </w:r>
            <w:proofErr w:type="spellEnd"/>
            <w:proofErr w:type="gramEnd"/>
            <w:r w:rsidR="00774972">
              <w:t xml:space="preserve"> discuss it later.</w:t>
            </w:r>
          </w:p>
        </w:tc>
      </w:tr>
    </w:tbl>
    <w:p w14:paraId="03333AC3"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t>Discussion of enhancement(s) on the aggregated transmission (including repetition) is prioritized to improve the performance in NTN.</w:t>
      </w:r>
    </w:p>
    <w:p w14:paraId="56D025BA" w14:textId="77777777" w:rsidR="00460E72" w:rsidRDefault="00A748DC">
      <w:pPr>
        <w:ind w:left="360"/>
      </w:pPr>
      <w:r>
        <w:t xml:space="preserve">For [Initial Proposal 4-1], 18 companies [OPPO, Apple, NTT DOCOMO, ZTE, Xiaomi, </w:t>
      </w:r>
      <w:proofErr w:type="spellStart"/>
      <w:r>
        <w:t>Baicells</w:t>
      </w:r>
      <w:proofErr w:type="spellEnd"/>
      <w:r>
        <w:t xml:space="preserve">, Huawei, ITL, ETRI, Qualcomm, Sony, Panasonic, </w:t>
      </w:r>
      <w:proofErr w:type="spellStart"/>
      <w:r>
        <w:t>Spreadtrum</w:t>
      </w:r>
      <w:proofErr w:type="spellEnd"/>
      <w:r>
        <w:t>,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w:t>
      </w:r>
      <w:proofErr w:type="spellStart"/>
      <w:r>
        <w:t>Baicells</w:t>
      </w:r>
      <w:proofErr w:type="spellEnd"/>
      <w:r>
        <w:t xml:space="preserve">,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7CFA0667"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ListParagraph"/>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We would suggest to update the first FFS such that it includes the value 8 (meaning that no enhancements are applied – this would address Ericsson’s request for further justification). Still, we are uncertain what the “different configurations” is 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Malgun Gothic" w:cs="Arial" w:hint="eastAsia"/>
                <w:lang w:eastAsia="ko-KR"/>
              </w:rPr>
              <w:t>E</w:t>
            </w:r>
            <w:r>
              <w:rPr>
                <w:rFonts w:eastAsia="Malgun Gothic"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Malgun Gothic"/>
                <w:lang w:eastAsia="ko-KR"/>
              </w:rPr>
            </w:pPr>
            <w:r>
              <w:rPr>
                <w:rFonts w:eastAsia="Malgun Gothic"/>
                <w:lang w:eastAsia="ko-KR"/>
              </w:rPr>
              <w:t xml:space="preserve">We are fine with the proposal, </w:t>
            </w:r>
          </w:p>
          <w:p w14:paraId="794EF049" w14:textId="77777777" w:rsidR="00460E72" w:rsidRDefault="00A748DC">
            <w:pPr>
              <w:snapToGrid w:val="0"/>
              <w:ind w:left="360"/>
              <w:rPr>
                <w:rFonts w:eastAsia="Malgun Gothic"/>
                <w:lang w:eastAsia="ko-KR"/>
              </w:rPr>
            </w:pPr>
            <w:r>
              <w:rPr>
                <w:rFonts w:eastAsia="Malgun Gothic"/>
                <w:lang w:eastAsia="ko-KR"/>
              </w:rPr>
              <w:t xml:space="preserve">Regarding the larger aggregation factor, it is observed that some cases in NTN might suffer from the reliability issue even with the lowest </w:t>
            </w:r>
            <w:proofErr w:type="gramStart"/>
            <w:r>
              <w:rPr>
                <w:rFonts w:eastAsia="Malgun Gothic"/>
                <w:lang w:eastAsia="ko-KR"/>
              </w:rPr>
              <w:t>MCS(</w:t>
            </w:r>
            <w:proofErr w:type="gramEnd"/>
            <w:r>
              <w:rPr>
                <w:rFonts w:eastAsia="Malgun Gothic"/>
                <w:lang w:eastAsia="ko-KR"/>
              </w:rPr>
              <w:t xml:space="preserve">=0) and the max. aggregation factor (=8). </w:t>
            </w:r>
          </w:p>
          <w:p w14:paraId="64652358" w14:textId="77777777" w:rsidR="00460E72" w:rsidRDefault="00A748DC">
            <w:pPr>
              <w:snapToGrid w:val="0"/>
              <w:ind w:left="360"/>
            </w:pPr>
            <w:r>
              <w:rPr>
                <w:rFonts w:eastAsia="Malgun Gothic"/>
                <w:lang w:eastAsia="ko-KR"/>
              </w:rPr>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Malgun Gothic" w:cs="Arial"/>
                <w:lang w:eastAsia="ko-KR"/>
              </w:rPr>
            </w:pPr>
            <w:r w:rsidRPr="004165F1">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Malgun Gothic"/>
                <w:lang w:eastAsia="ko-KR"/>
              </w:rPr>
            </w:pPr>
            <w:r w:rsidRPr="004165F1">
              <w:t>We do not support this proposal. The purpose of increasing the DL aggregation factor should be better understood.</w:t>
            </w:r>
            <w:r>
              <w:t xml:space="preserve"> But with the addition proposed by Nokia we are fine with it.</w:t>
            </w:r>
          </w:p>
        </w:tc>
      </w:tr>
      <w:tr w:rsidR="00C47465" w14:paraId="33B5753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33E52" w14:textId="6BC12504" w:rsidR="00C47465" w:rsidRPr="004165F1" w:rsidRDefault="00C47465" w:rsidP="00C47465">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63AAAC1" w14:textId="6BB5EB7C" w:rsidR="00C47465" w:rsidRPr="004165F1" w:rsidRDefault="00C47465" w:rsidP="00C47465">
            <w:pPr>
              <w:snapToGrid w:val="0"/>
              <w:ind w:left="360"/>
            </w:pPr>
            <w:r>
              <w:rPr>
                <w:rFonts w:eastAsia="Malgun Gothic" w:hint="eastAsia"/>
                <w:lang w:eastAsia="ko-KR"/>
              </w:rPr>
              <w:t>Support</w:t>
            </w:r>
          </w:p>
        </w:tc>
      </w:tr>
      <w:tr w:rsidR="002A52C8" w14:paraId="7C4B93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8D6959" w14:textId="7A5CC6A1" w:rsidR="002A52C8" w:rsidRDefault="002A52C8" w:rsidP="00C47465">
            <w:pPr>
              <w:jc w:val="center"/>
              <w:rPr>
                <w:rFonts w:eastAsia="Malgun Gothic" w:cs="Arial"/>
                <w:lang w:eastAsia="ko-KR"/>
              </w:rPr>
            </w:pPr>
            <w:r>
              <w:rPr>
                <w:rFonts w:eastAsia="Malgun Gothic" w:cs="Arial"/>
                <w:lang w:eastAsia="ko-KR"/>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2F0F62BC" w14:textId="543CFA4F" w:rsidR="002A52C8" w:rsidRDefault="002A52C8" w:rsidP="00C47465">
            <w:pPr>
              <w:snapToGrid w:val="0"/>
              <w:ind w:left="360"/>
              <w:rPr>
                <w:rFonts w:eastAsia="Malgun Gothic"/>
                <w:lang w:eastAsia="ko-KR"/>
              </w:rPr>
            </w:pPr>
            <w:r>
              <w:rPr>
                <w:rFonts w:eastAsia="Malgun Gothic"/>
                <w:lang w:eastAsia="ko-KR"/>
              </w:rPr>
              <w:t>Support</w:t>
            </w:r>
          </w:p>
        </w:tc>
      </w:tr>
    </w:tbl>
    <w:p w14:paraId="6D110D0A" w14:textId="77777777" w:rsidR="00460E72" w:rsidRDefault="00A748DC">
      <w:pPr>
        <w:pStyle w:val="Heading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 xml:space="preserve">For the [Initial Proposal 5-1], 16 companies feedback, and 10 companies [Nokia, 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NEC] have concerns on the initial proposal and prefer to take it as </w:t>
      </w:r>
      <w:proofErr w:type="spellStart"/>
      <w:r>
        <w:t>gNB’s</w:t>
      </w:r>
      <w:proofErr w:type="spellEnd"/>
      <w:r>
        <w:t xml:space="preserve">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gNB has to wait MAC CE transmission for feedback-enabled process becoming available. Note that gNB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gNB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r w:rsidR="00030665" w14:paraId="3E5E6F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5C148" w14:textId="7F55C2AE" w:rsidR="00030665"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1A8F4A" w14:textId="77777777" w:rsidR="00030665" w:rsidRDefault="00030665" w:rsidP="00030665">
            <w:pPr>
              <w:snapToGrid w:val="0"/>
              <w:ind w:left="360"/>
            </w:pPr>
            <w:r>
              <w:rPr>
                <w:rFonts w:hint="eastAsia"/>
              </w:rPr>
              <w:t>No need for this proposal.</w:t>
            </w:r>
          </w:p>
          <w:p w14:paraId="0C94AA85" w14:textId="4DF7C9F2" w:rsidR="00030665" w:rsidRDefault="00030665" w:rsidP="00030665">
            <w:pPr>
              <w:snapToGrid w:val="0"/>
              <w:ind w:left="360"/>
            </w:pPr>
            <w:r>
              <w:t>The gNB can achieve already what the proposal intends to do without any spec impact. We actually don’t understand what the supporting companies are after?</w:t>
            </w:r>
          </w:p>
        </w:tc>
      </w:tr>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Heading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gNB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gNB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t>Proposal 2: The scheduling with a given HARQ process to enable/disable HARQ feedback to send MAC CE is up to gNB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t>Proposal 4</w:t>
            </w:r>
            <w:r>
              <w:t>：</w:t>
            </w:r>
            <w:r>
              <w:t>Support to enhance HARQ-ACK codebook as below:</w:t>
            </w:r>
          </w:p>
          <w:p w14:paraId="0DFDECD1"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6172B988"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ListParagraph"/>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ListParagraph"/>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002BCB17" w14:textId="77777777" w:rsidR="00460E72" w:rsidRDefault="00A748DC">
            <w:pPr>
              <w:pStyle w:val="ListParagraph"/>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ListParagraph"/>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t xml:space="preserve">R1-2106703 </w:t>
            </w:r>
            <w:proofErr w:type="spellStart"/>
            <w:r>
              <w:t>Spreadtrum</w:t>
            </w:r>
            <w:proofErr w:type="spellEnd"/>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t>R1-2106756</w:t>
            </w:r>
          </w:p>
          <w:p w14:paraId="4BD1973A" w14:textId="77777777" w:rsidR="00460E72" w:rsidRDefault="00A748DC">
            <w:pPr>
              <w:snapToGrid w:val="0"/>
              <w:spacing w:after="0"/>
              <w:jc w:val="center"/>
            </w:pPr>
            <w:proofErr w:type="spellStart"/>
            <w:r>
              <w:t>Baicells</w:t>
            </w:r>
            <w:proofErr w:type="spellEnd"/>
          </w:p>
        </w:tc>
        <w:tc>
          <w:tcPr>
            <w:tcW w:w="8744" w:type="dxa"/>
            <w:vAlign w:val="center"/>
          </w:tcPr>
          <w:p w14:paraId="42A36A8E" w14:textId="77777777" w:rsidR="00460E72" w:rsidRDefault="00A748DC">
            <w:pPr>
              <w:pStyle w:val="ListParagraph"/>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ListParagraph"/>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t>Sony</w:t>
            </w:r>
          </w:p>
        </w:tc>
        <w:tc>
          <w:tcPr>
            <w:tcW w:w="8744" w:type="dxa"/>
            <w:vAlign w:val="center"/>
          </w:tcPr>
          <w:p w14:paraId="10EC232C" w14:textId="77777777" w:rsidR="00460E72" w:rsidRDefault="00A748DC">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ListParagraph"/>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6BE7EFDE" w14:textId="77777777" w:rsidR="00460E72" w:rsidRDefault="00A748DC">
            <w:pPr>
              <w:pStyle w:val="ListParagraph"/>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3BE9FCE1" w14:textId="77777777" w:rsidR="00460E72" w:rsidRDefault="00A748DC">
            <w:pPr>
              <w:pStyle w:val="ListParagraph"/>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ListParagraph"/>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EC52F2">
            <w:pPr>
              <w:snapToGrid w:val="0"/>
              <w:spacing w:after="0"/>
              <w:jc w:val="center"/>
            </w:pPr>
            <w:hyperlink r:id="rId16" w:history="1">
              <w:r w:rsidR="00A748DC">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ListParagraph"/>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ListParagraph"/>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092E315F"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t>Proposal 7: A UE indicates a capability for a maximum number of UL HARQ processes.</w:t>
            </w:r>
          </w:p>
          <w:p w14:paraId="503F1494" w14:textId="77777777" w:rsidR="00460E72" w:rsidRDefault="00A748DC">
            <w:pPr>
              <w:snapToGrid w:val="0"/>
              <w:spacing w:after="0"/>
              <w:jc w:val="both"/>
            </w:pPr>
            <w:r>
              <w:rPr>
                <w:bCs/>
                <w:kern w:val="2"/>
                <w:lang w:eastAsia="ja-JP"/>
              </w:rPr>
              <w:t xml:space="preserve">Proposal 8: </w:t>
            </w:r>
            <w:r>
              <w:t xml:space="preserve">For the maximum number of HARQ processes, support one of the following options. </w:t>
            </w:r>
          </w:p>
          <w:p w14:paraId="1F05508D"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gNB informs a maximum TBS to a UE and the UE reports its capability for a number of HARQ processes. </w:t>
            </w:r>
          </w:p>
          <w:p w14:paraId="29F00272" w14:textId="77777777" w:rsidR="00460E72" w:rsidRDefault="00A748DC">
            <w:pPr>
              <w:pStyle w:val="ListParagraph"/>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Malgun Gothic"/>
                <w:iCs/>
              </w:rPr>
            </w:pPr>
            <w:r>
              <w:rPr>
                <w:rFonts w:eastAsia="Malgun Gothic"/>
                <w:bCs/>
                <w:iCs/>
              </w:rPr>
              <w:t>Observation 1</w:t>
            </w:r>
            <w:r>
              <w:rPr>
                <w:rFonts w:eastAsia="Malgun Gothic"/>
                <w:iCs/>
              </w:rPr>
              <w:t xml:space="preserve">: HARQ-ACK feedback disabling offers marginal benefits for UE power savings in Rel-17 NTN. </w:t>
            </w:r>
          </w:p>
          <w:p w14:paraId="1369EBBF" w14:textId="77777777" w:rsidR="00460E72" w:rsidRDefault="00A748DC">
            <w:pPr>
              <w:snapToGrid w:val="0"/>
              <w:spacing w:after="0"/>
              <w:jc w:val="both"/>
              <w:rPr>
                <w:rFonts w:eastAsia="Malgun Gothic"/>
                <w:iCs/>
              </w:rPr>
            </w:pPr>
            <w:r>
              <w:rPr>
                <w:rFonts w:eastAsia="Malgun Gothic"/>
                <w:bCs/>
                <w:iCs/>
              </w:rPr>
              <w:t>Observation 2</w:t>
            </w:r>
            <w:r>
              <w:rPr>
                <w:rFonts w:eastAsia="Malgun Gothic"/>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Malgun Gothic"/>
                <w:iCs/>
              </w:rPr>
            </w:pPr>
            <w:r>
              <w:rPr>
                <w:rFonts w:eastAsia="Malgun Gothic"/>
                <w:bCs/>
                <w:iCs/>
              </w:rPr>
              <w:t>Observation 3</w:t>
            </w:r>
            <w:r>
              <w:rPr>
                <w:rFonts w:eastAsia="Malgun Gothic"/>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Malgun Gothic"/>
                <w:iCs/>
              </w:rPr>
            </w:pPr>
            <w:r>
              <w:rPr>
                <w:rFonts w:eastAsia="Malgun Gothic"/>
                <w:bCs/>
                <w:iCs/>
              </w:rPr>
              <w:t>Observation 4</w:t>
            </w:r>
            <w:r>
              <w:rPr>
                <w:rFonts w:eastAsia="Malgun Gothic"/>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Malgun Gothic"/>
                <w:iCs/>
              </w:rPr>
            </w:pPr>
            <w:r>
              <w:rPr>
                <w:rFonts w:eastAsia="Malgun Gothic"/>
                <w:bCs/>
                <w:iCs/>
              </w:rPr>
              <w:t>Observation 5</w:t>
            </w:r>
            <w:r>
              <w:rPr>
                <w:rFonts w:eastAsia="Malgun Gothic"/>
                <w:iCs/>
              </w:rPr>
              <w:t>: There is no need to change Rel-16 operation for HARQ-ACK report in response to SPS PDSCH release.</w:t>
            </w:r>
          </w:p>
          <w:p w14:paraId="09B302BD" w14:textId="77777777" w:rsidR="00460E72" w:rsidRDefault="00A748DC">
            <w:pPr>
              <w:snapToGrid w:val="0"/>
              <w:spacing w:after="0"/>
              <w:jc w:val="both"/>
            </w:pPr>
            <w:r>
              <w:rPr>
                <w:rFonts w:eastAsia="Malgun Gothic"/>
                <w:bCs/>
                <w:iCs/>
              </w:rPr>
              <w:t>Observation 6</w:t>
            </w:r>
            <w:r>
              <w:rPr>
                <w:rFonts w:eastAsia="Malgun Gothic"/>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 xml:space="preserve">Observation </w:t>
            </w:r>
            <w:proofErr w:type="gramStart"/>
            <w:r>
              <w:t>1:Additional</w:t>
            </w:r>
            <w:proofErr w:type="gramEnd"/>
            <w:r>
              <w:t xml:space="preserve"> HARQ bit can be taken from second block DCI field if only one layer </w:t>
            </w:r>
            <w:proofErr w:type="spellStart"/>
            <w:r>
              <w:t>tansmission</w:t>
            </w:r>
            <w:proofErr w:type="spellEnd"/>
            <w:r>
              <w:t xml:space="preserve"> supported in NTN.  </w:t>
            </w:r>
          </w:p>
          <w:p w14:paraId="1C858098"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ListParagraph"/>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ListParagraph"/>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ListParagraph"/>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t>R1-2107015</w:t>
            </w:r>
          </w:p>
          <w:p w14:paraId="520128FF" w14:textId="77777777" w:rsidR="00460E72" w:rsidRDefault="00A748DC">
            <w:pPr>
              <w:snapToGrid w:val="0"/>
              <w:spacing w:after="0"/>
              <w:jc w:val="center"/>
            </w:pPr>
            <w:r>
              <w:t>NEC</w:t>
            </w:r>
          </w:p>
        </w:tc>
        <w:tc>
          <w:tcPr>
            <w:tcW w:w="8744" w:type="dxa"/>
            <w:vAlign w:val="center"/>
          </w:tcPr>
          <w:p w14:paraId="118EA777" w14:textId="77777777" w:rsidR="00460E72" w:rsidRDefault="00A748DC">
            <w:pPr>
              <w:snapToGrid w:val="0"/>
              <w:spacing w:after="0"/>
              <w:rPr>
                <w:iCs/>
              </w:rPr>
            </w:pPr>
            <w:r>
              <w:rPr>
                <w:bCs/>
                <w:iCs/>
              </w:rPr>
              <w:t xml:space="preserve">Proposal 1: </w:t>
            </w:r>
            <w:r>
              <w:rPr>
                <w:iCs/>
              </w:rPr>
              <w:t>gNB can use any value for the C-DAI and T-DAI in the DCI of PDSCH with feedback-disabled HARQ process.</w:t>
            </w:r>
          </w:p>
          <w:p w14:paraId="28BB3821" w14:textId="77777777" w:rsidR="00460E72" w:rsidRDefault="00A748DC">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 xml:space="preserve">Dynamic indication to inform the UE if HARQ-feedback is expected or not for </w:t>
            </w:r>
            <w:proofErr w:type="spellStart"/>
            <w:proofErr w:type="gramStart"/>
            <w:r>
              <w:rPr>
                <w:iCs/>
              </w:rPr>
              <w:t>M</w:t>
            </w:r>
            <w:r>
              <w:rPr>
                <w:iCs/>
                <w:vertAlign w:val="subscript"/>
              </w:rPr>
              <w:t>A,c</w:t>
            </w:r>
            <w:proofErr w:type="spellEnd"/>
            <w:proofErr w:type="gramEnd"/>
            <w:r>
              <w:rPr>
                <w:iCs/>
              </w:rPr>
              <w:t xml:space="preserve"> occasions can be useful to reduce codebook size.</w:t>
            </w:r>
          </w:p>
          <w:p w14:paraId="3F002219" w14:textId="77777777" w:rsidR="00460E72" w:rsidRDefault="00A748DC">
            <w:pPr>
              <w:snapToGrid w:val="0"/>
              <w:spacing w:after="0"/>
              <w:rPr>
                <w:iCs/>
              </w:rPr>
            </w:pPr>
            <w:r>
              <w:rPr>
                <w:bCs/>
                <w:iCs/>
              </w:rPr>
              <w:t xml:space="preserve">Observation 2: </w:t>
            </w:r>
            <w:r>
              <w:rPr>
                <w:iCs/>
              </w:rPr>
              <w:t xml:space="preserve">Codebook size reduction can be achieved if only HARQ disabled processes and SPS PDSCHs are scheduled in </w:t>
            </w:r>
            <w:proofErr w:type="spellStart"/>
            <w:proofErr w:type="gramStart"/>
            <w:r>
              <w:rPr>
                <w:iCs/>
              </w:rPr>
              <w:t>M</w:t>
            </w:r>
            <w:r>
              <w:rPr>
                <w:iCs/>
                <w:vertAlign w:val="subscript"/>
              </w:rPr>
              <w:t>A,c</w:t>
            </w:r>
            <w:proofErr w:type="spellEnd"/>
            <w:proofErr w:type="gramEnd"/>
            <w:r>
              <w:rPr>
                <w:iCs/>
              </w:rPr>
              <w:t xml:space="preserve"> occasions.</w:t>
            </w:r>
          </w:p>
          <w:p w14:paraId="0328FB3E" w14:textId="77777777" w:rsidR="00460E72" w:rsidRDefault="00A748DC">
            <w:pPr>
              <w:snapToGrid w:val="0"/>
              <w:spacing w:after="0"/>
              <w:rPr>
                <w:iCs/>
              </w:rPr>
            </w:pPr>
            <w:r>
              <w:rPr>
                <w:bCs/>
                <w:iCs/>
              </w:rPr>
              <w:t xml:space="preserve">Proposal 4: </w:t>
            </w:r>
            <w:r>
              <w:rPr>
                <w:iCs/>
              </w:rPr>
              <w:t>Type-1 codebook enhancement is supported as:</w:t>
            </w:r>
          </w:p>
          <w:p w14:paraId="563B2B0D"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proofErr w:type="gramStart"/>
            <w:r>
              <w:rPr>
                <w:rFonts w:ascii="Times New Roman" w:hAnsi="Times New Roman"/>
                <w:iCs/>
                <w:sz w:val="20"/>
                <w:szCs w:val="20"/>
                <w:lang w:val="en-GB"/>
              </w:rPr>
              <w:t>M</w:t>
            </w:r>
            <w:r>
              <w:rPr>
                <w:rFonts w:ascii="Times New Roman" w:hAnsi="Times New Roman"/>
                <w:iCs/>
                <w:sz w:val="20"/>
                <w:szCs w:val="20"/>
                <w:vertAlign w:val="subscript"/>
                <w:lang w:val="en-GB"/>
              </w:rPr>
              <w:t>A,c</w:t>
            </w:r>
            <w:proofErr w:type="spellEnd"/>
            <w:proofErr w:type="gramEnd"/>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proofErr w:type="gramStart"/>
            <w:r>
              <w:rPr>
                <w:rFonts w:ascii="Times New Roman" w:hAnsi="Times New Roman"/>
                <w:iCs/>
                <w:sz w:val="20"/>
                <w:szCs w:val="20"/>
              </w:rPr>
              <w:t>MA,c</w:t>
            </w:r>
            <w:proofErr w:type="spellEnd"/>
            <w:proofErr w:type="gramEnd"/>
            <w:r>
              <w:rPr>
                <w:rFonts w:ascii="Times New Roman" w:hAnsi="Times New Roman"/>
                <w:iCs/>
                <w:sz w:val="20"/>
                <w:szCs w:val="20"/>
              </w:rPr>
              <w:t xml:space="preserve"> occasion, UE omits HARQ feedback.</w:t>
            </w:r>
          </w:p>
          <w:p w14:paraId="1A5D37B9" w14:textId="77777777" w:rsidR="00460E72" w:rsidRDefault="00A748DC">
            <w:pPr>
              <w:pStyle w:val="ListParagraph"/>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proofErr w:type="gramStart"/>
            <w:r>
              <w:rPr>
                <w:rFonts w:ascii="Times New Roman" w:hAnsi="Times New Roman"/>
                <w:iCs/>
                <w:sz w:val="20"/>
                <w:szCs w:val="20"/>
              </w:rPr>
              <w:t>MA,c</w:t>
            </w:r>
            <w:proofErr w:type="spellEnd"/>
            <w:proofErr w:type="gramEnd"/>
            <w:r>
              <w:rPr>
                <w:rFonts w:ascii="Times New Roman" w:hAnsi="Times New Roman"/>
                <w:iCs/>
                <w:sz w:val="20"/>
                <w:szCs w:val="20"/>
              </w:rPr>
              <w:t xml:space="preserve"> occasion, UE omits HARQ feedback for non SPS PDSCH occasions.</w:t>
            </w:r>
          </w:p>
          <w:p w14:paraId="052F6FA1" w14:textId="77777777" w:rsidR="00460E72" w:rsidRDefault="00A748DC">
            <w:pPr>
              <w:pStyle w:val="ListParagraph"/>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ListParagraph"/>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ListParagraph"/>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gNB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194B5751"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BodyText"/>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AF35336" w14:textId="77777777" w:rsidR="00460E72" w:rsidRDefault="00A748DC">
            <w:pPr>
              <w:pStyle w:val="BodyText"/>
              <w:snapToGrid w:val="0"/>
              <w:spacing w:after="0"/>
              <w:rPr>
                <w:rFonts w:ascii="Times New Roman" w:hAnsi="Times New Roman"/>
                <w:szCs w:val="20"/>
              </w:rPr>
            </w:pPr>
            <w:r>
              <w:rPr>
                <w:rFonts w:ascii="Times New Roman" w:hAnsi="Times New Roman"/>
                <w:szCs w:val="20"/>
                <w:lang w:eastAsia="ko-KR"/>
              </w:rPr>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Proposal 6: Type-3 HARQ-ACK codebook could be used as a complement way if no 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BodyText"/>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BodyText"/>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BodyText"/>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635EA875"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41717BCD"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5: PUSCH transmission constraint for a given disabled UL HARQ process should be considered. </w:t>
            </w:r>
          </w:p>
          <w:p w14:paraId="39A74582"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BodyText"/>
              <w:numPr>
                <w:ilvl w:val="0"/>
                <w:numId w:val="44"/>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14:paraId="7F760E8F"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BodyText"/>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DengXian"/>
              </w:rPr>
              <w:t>T</w:t>
            </w:r>
            <w:r>
              <w:t>he size of the PDSCH-to-</w:t>
            </w:r>
            <w:proofErr w:type="spellStart"/>
            <w:r>
              <w:t>HARQ_feedback</w:t>
            </w:r>
            <w:proofErr w:type="spellEnd"/>
            <w:r>
              <w:t xml:space="preserve">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t>R1-2107289</w:t>
            </w:r>
          </w:p>
          <w:p w14:paraId="1CB64ABC" w14:textId="77777777" w:rsidR="00460E72" w:rsidRDefault="00A748DC">
            <w:pPr>
              <w:snapToGrid w:val="0"/>
              <w:spacing w:after="0"/>
              <w:jc w:val="center"/>
            </w:pPr>
            <w:r>
              <w:t>FIG,APT,ITRI</w:t>
            </w:r>
          </w:p>
        </w:tc>
        <w:tc>
          <w:tcPr>
            <w:tcW w:w="8744" w:type="dxa"/>
            <w:vAlign w:val="center"/>
          </w:tcPr>
          <w:p w14:paraId="185DBFE7" w14:textId="77777777" w:rsidR="00460E72" w:rsidRDefault="00A748DC">
            <w:pPr>
              <w:snapToGrid w:val="0"/>
              <w:spacing w:after="0"/>
            </w:pPr>
            <w:r>
              <w:rPr>
                <w:rFonts w:eastAsia="Malgun Gothic"/>
              </w:rPr>
              <w:fldChar w:fldCharType="begin"/>
            </w:r>
            <w:r>
              <w:instrText xml:space="preserve"> TOC \n \h \z \t "Observation,1" </w:instrText>
            </w:r>
            <w:r>
              <w:rPr>
                <w:rFonts w:eastAsia="Malgun Gothic"/>
              </w:rPr>
              <w:fldChar w:fldCharType="separate"/>
            </w:r>
            <w:hyperlink w:anchor="_Toc79066285" w:history="1">
              <w:r>
                <w:rPr>
                  <w:rStyle w:val="Hyperlink"/>
                  <w:lang w:eastAsia="zh-TW"/>
                </w:rPr>
                <w:t>Observation 1</w:t>
              </w:r>
              <w:r>
                <w:rPr>
                  <w:rFonts w:eastAsiaTheme="minorEastAsia"/>
                  <w:lang w:eastAsia="zh-TW"/>
                </w:rPr>
                <w:tab/>
              </w:r>
              <w:r>
                <w:rPr>
                  <w:rStyle w:val="Hyperlink"/>
                  <w:lang w:eastAsia="zh-TW"/>
                </w:rPr>
                <w:t>If PDCCH contents indicate an SPS PDSCH release, UE shall clear the configured DL assignment for this Serving Cell, thus the associated HARQ feedback shall be mandatory.</w:t>
              </w:r>
            </w:hyperlink>
          </w:p>
          <w:p w14:paraId="5F97BDD5" w14:textId="77777777" w:rsidR="00460E72" w:rsidRDefault="00A748DC">
            <w:pPr>
              <w:pStyle w:val="TOC1"/>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Hyperlink"/>
                  <w:sz w:val="20"/>
                  <w:lang w:eastAsia="zh-TW"/>
                </w:rPr>
                <w:t>Proposal 1</w:t>
              </w:r>
              <w:r>
                <w:rPr>
                  <w:rFonts w:eastAsiaTheme="minorEastAsia"/>
                  <w:sz w:val="20"/>
                  <w:lang w:eastAsia="zh-TW"/>
                </w:rPr>
                <w:tab/>
              </w:r>
              <w:r>
                <w:rPr>
                  <w:rStyle w:val="Hyperlink"/>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EC52F2">
            <w:pPr>
              <w:snapToGrid w:val="0"/>
              <w:spacing w:after="0"/>
              <w:rPr>
                <w:rStyle w:val="Hyperlink"/>
              </w:rPr>
            </w:pPr>
            <w:hyperlink w:anchor="_Toc79066279" w:history="1">
              <w:r w:rsidR="00A748DC">
                <w:rPr>
                  <w:rStyle w:val="Hyperlink"/>
                  <w:lang w:eastAsia="zh-TW"/>
                </w:rPr>
                <w:t>Proposal 2</w:t>
              </w:r>
              <w:r w:rsidR="00A748DC">
                <w:rPr>
                  <w:rStyle w:val="Hyperlink"/>
                </w:rPr>
                <w:tab/>
              </w:r>
              <w:r w:rsidR="00A748DC">
                <w:rPr>
                  <w:rStyle w:val="Hyperlink"/>
                  <w:lang w:eastAsia="zh-TW"/>
                </w:rPr>
                <w:t>UE expects an SPS PDSCH release is transmitted using HARQ processes with feedback enabled.</w:t>
              </w:r>
            </w:hyperlink>
          </w:p>
          <w:p w14:paraId="3B22DF66" w14:textId="77777777" w:rsidR="00460E72" w:rsidRDefault="00EC52F2">
            <w:pPr>
              <w:snapToGrid w:val="0"/>
              <w:spacing w:after="0"/>
              <w:rPr>
                <w:rStyle w:val="Hyperlink"/>
              </w:rPr>
            </w:pPr>
            <w:hyperlink w:anchor="_Toc79066280" w:history="1">
              <w:r w:rsidR="00A748DC">
                <w:rPr>
                  <w:rStyle w:val="Hyperlink"/>
                  <w:lang w:eastAsia="zh-TW"/>
                </w:rPr>
                <w:t>Proposal 3</w:t>
              </w:r>
              <w:r w:rsidR="00A748DC">
                <w:rPr>
                  <w:rStyle w:val="Hyperlink"/>
                </w:rPr>
                <w:tab/>
              </w:r>
              <w:r w:rsidR="00A748DC">
                <w:rPr>
                  <w:rStyle w:val="Hyperlink"/>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EC52F2">
            <w:pPr>
              <w:snapToGrid w:val="0"/>
              <w:spacing w:after="0"/>
              <w:rPr>
                <w:rStyle w:val="Hyperlink"/>
              </w:rPr>
            </w:pPr>
            <w:hyperlink w:anchor="_Toc79066281" w:history="1">
              <w:r w:rsidR="00A748DC">
                <w:rPr>
                  <w:rStyle w:val="Hyperlink"/>
                  <w:lang w:eastAsia="zh-TW"/>
                </w:rPr>
                <w:t>Proposal 4</w:t>
              </w:r>
              <w:r w:rsidR="00A748DC">
                <w:rPr>
                  <w:rStyle w:val="Hyperlink"/>
                </w:rPr>
                <w:tab/>
              </w:r>
              <w:r w:rsidR="00A748DC">
                <w:rPr>
                  <w:rStyle w:val="Hyperlink"/>
                  <w:lang w:eastAsia="zh-TW"/>
                </w:rPr>
                <w:t>Deprioritize Type-3 HARQ CB enhancement for NTN in Rel-17, considering there might be no use case when Type-1 and Type-2 HARQ CBs can be supported in NTN.</w:t>
              </w:r>
            </w:hyperlink>
          </w:p>
          <w:p w14:paraId="2F0D38A6" w14:textId="77777777" w:rsidR="00460E72" w:rsidRDefault="00EC52F2">
            <w:pPr>
              <w:snapToGrid w:val="0"/>
              <w:spacing w:after="0"/>
              <w:rPr>
                <w:rStyle w:val="Hyperlink"/>
              </w:rPr>
            </w:pPr>
            <w:hyperlink w:anchor="_Toc79066282" w:history="1">
              <w:r w:rsidR="00A748DC">
                <w:rPr>
                  <w:rStyle w:val="Hyperlink"/>
                  <w:lang w:eastAsia="zh-TW"/>
                </w:rPr>
                <w:t>Proposal 5</w:t>
              </w:r>
              <w:r w:rsidR="00A748DC">
                <w:rPr>
                  <w:rStyle w:val="Hyperlink"/>
                </w:rPr>
                <w:tab/>
              </w:r>
              <w:r w:rsidR="00A748DC">
                <w:rPr>
                  <w:rStyle w:val="Hyperlink"/>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EC52F2">
            <w:pPr>
              <w:snapToGrid w:val="0"/>
              <w:spacing w:after="0"/>
              <w:rPr>
                <w:rStyle w:val="Hyperlink"/>
              </w:rPr>
            </w:pPr>
            <w:hyperlink w:anchor="_Toc79066283" w:history="1">
              <w:r w:rsidR="00A748DC">
                <w:rPr>
                  <w:rStyle w:val="Hyperlink"/>
                  <w:lang w:eastAsia="zh-TW"/>
                </w:rPr>
                <w:t>Proposal 6</w:t>
              </w:r>
              <w:r w:rsidR="00A748DC">
                <w:rPr>
                  <w:rStyle w:val="Hyperlink"/>
                </w:rPr>
                <w:tab/>
              </w:r>
              <w:r w:rsidR="00A748DC">
                <w:rPr>
                  <w:rStyle w:val="Hyperlink"/>
                  <w:lang w:eastAsia="zh-TW"/>
                </w:rPr>
                <w:t>For Fallback DCI format (0-0, 1-0), no extension is needed, regarding no need to support more than 16 HARQ processes for initial access.</w:t>
              </w:r>
            </w:hyperlink>
          </w:p>
          <w:p w14:paraId="0CE54993" w14:textId="77777777" w:rsidR="00460E72" w:rsidRDefault="00EC52F2">
            <w:pPr>
              <w:snapToGrid w:val="0"/>
              <w:spacing w:after="0"/>
            </w:pPr>
            <w:hyperlink w:anchor="_Toc79066284" w:history="1">
              <w:r w:rsidR="00A748DC">
                <w:rPr>
                  <w:rStyle w:val="Hyperlink"/>
                  <w:lang w:eastAsia="zh-TW"/>
                </w:rPr>
                <w:t>Proposal 7</w:t>
              </w:r>
              <w:r w:rsidR="00A748DC">
                <w:rPr>
                  <w:rStyle w:val="Hyperlink"/>
                </w:rPr>
                <w:tab/>
              </w:r>
              <w:r w:rsidR="00A748DC">
                <w:rPr>
                  <w:rStyle w:val="Hyperlink"/>
                  <w:lang w:eastAsia="zh-TW"/>
                </w:rPr>
                <w:t>Support on the maximal HARQ process number is up to UE capability and configure via UE-specific RRC signaling.</w:t>
              </w:r>
            </w:hyperlink>
            <w:r w:rsidR="00A748DC">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t>R1-2107343</w:t>
            </w:r>
          </w:p>
          <w:p w14:paraId="1D9305E5" w14:textId="77777777" w:rsidR="00460E72" w:rsidRDefault="00A748DC">
            <w:pPr>
              <w:snapToGrid w:val="0"/>
              <w:spacing w:after="0"/>
              <w:jc w:val="center"/>
            </w:pPr>
            <w:proofErr w:type="spellStart"/>
            <w:r>
              <w:t>Qaulcomm</w:t>
            </w:r>
            <w:proofErr w:type="spellEnd"/>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lookback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with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ListParagraph"/>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ListParagraph"/>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1E71E8D" w14:textId="77777777" w:rsidR="00460E72" w:rsidRDefault="00A748DC">
            <w:pPr>
              <w:pStyle w:val="ListParagraph"/>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the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ListParagraph"/>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ListParagraph"/>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ListParagraph"/>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t>Proposal 7: Support different transmit parameters and/or configurations per HARQ process or per HARQ process type (retransmissions is enabled/disabled), including</w:t>
            </w:r>
          </w:p>
          <w:p w14:paraId="39B2441C"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ListParagraph"/>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ListParagraph"/>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gNB,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gNB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gNB, </w:t>
            </w:r>
            <w:r>
              <w:t>skipping feedback transmission will save UE battery consumption, reduce UL interference, and save UL resources</w:t>
            </w:r>
            <w:r>
              <w:rPr>
                <w:bCs/>
                <w:iCs/>
              </w:rPr>
              <w:t xml:space="preserve"> overhead at gNB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ListParagraph"/>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ListParagraph"/>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t>R1-2107469</w:t>
            </w:r>
          </w:p>
          <w:p w14:paraId="2713410A" w14:textId="77777777" w:rsidR="00460E72" w:rsidRDefault="00A748DC">
            <w:pPr>
              <w:snapToGrid w:val="0"/>
              <w:spacing w:after="0"/>
              <w:jc w:val="center"/>
            </w:pPr>
            <w:r>
              <w:t>Panasonic</w:t>
            </w:r>
          </w:p>
        </w:tc>
        <w:tc>
          <w:tcPr>
            <w:tcW w:w="8744" w:type="dxa"/>
            <w:vAlign w:val="center"/>
          </w:tcPr>
          <w:p w14:paraId="28B2E098" w14:textId="77777777" w:rsidR="00460E72" w:rsidRDefault="00A748DC">
            <w:pPr>
              <w:snapToGrid w:val="0"/>
              <w:spacing w:after="0"/>
              <w:rPr>
                <w:bCs/>
                <w:lang w:eastAsia="ja-JP"/>
              </w:rPr>
            </w:pPr>
            <w:r>
              <w:rPr>
                <w:bCs/>
                <w:lang w:eastAsia="ja-JP"/>
              </w:rPr>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0C1C8227"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3C986B5B"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7E042556"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ListParagraph"/>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t xml:space="preserve">Observation </w:t>
            </w:r>
            <w:proofErr w:type="gramStart"/>
            <w:r>
              <w:rPr>
                <w:lang w:eastAsia="ko-KR"/>
              </w:rPr>
              <w:t>6 :</w:t>
            </w:r>
            <w:proofErr w:type="gramEnd"/>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ListParagraph"/>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ListParagraph"/>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29A88858" w14:textId="77777777" w:rsidR="00460E72" w:rsidRDefault="00A748DC">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PUSCH :</w:t>
            </w:r>
            <w:proofErr w:type="gramEnd"/>
            <w:r>
              <w:rPr>
                <w:rFonts w:ascii="Times New Roman" w:hAnsi="Times New Roman"/>
                <w:sz w:val="20"/>
                <w:szCs w:val="20"/>
              </w:rPr>
              <w:t xml:space="preserve">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ListParagraph"/>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w:t>
            </w:r>
            <w:proofErr w:type="gramStart"/>
            <w:r>
              <w:rPr>
                <w:rFonts w:ascii="Times New Roman" w:hAnsi="Times New Roman"/>
                <w:sz w:val="20"/>
                <w:szCs w:val="20"/>
                <w:lang w:eastAsia="ko-KR"/>
              </w:rPr>
              <w:t>transmission</w:t>
            </w:r>
            <w:proofErr w:type="gramEnd"/>
            <w:r>
              <w:rPr>
                <w:rFonts w:ascii="Times New Roman" w:hAnsi="Times New Roman"/>
                <w:sz w:val="20"/>
                <w:szCs w:val="20"/>
                <w:lang w:eastAsia="ko-KR"/>
              </w:rPr>
              <w:t xml:space="preserve"> might be enough.</w:t>
            </w:r>
          </w:p>
          <w:p w14:paraId="285CCCE9" w14:textId="77777777" w:rsidR="00460E72" w:rsidRDefault="00A748DC">
            <w:pPr>
              <w:pStyle w:val="ListParagraph"/>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143EF454" w14:textId="77777777" w:rsidR="00460E72" w:rsidRDefault="00A748DC">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4E3009CA" w14:textId="77777777" w:rsidR="00460E72" w:rsidRDefault="00A748DC">
            <w:pPr>
              <w:pStyle w:val="ListParagraph"/>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23F46AF8" w14:textId="77777777" w:rsidR="00460E72" w:rsidRDefault="00A748DC">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ListParagraph"/>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F5BA751"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t xml:space="preserve">Observation </w:t>
            </w:r>
            <w:proofErr w:type="gramStart"/>
            <w:r>
              <w:rPr>
                <w:lang w:eastAsia="ko-KR"/>
              </w:rPr>
              <w:t>16 :</w:t>
            </w:r>
            <w:proofErr w:type="gramEnd"/>
            <w:r>
              <w:rPr>
                <w:lang w:eastAsia="ko-KR"/>
              </w:rPr>
              <w:t xml:space="preserve"> NR gNB cannot distinguish between just proper parameter and too reliable parameter, if the slot aggregation is used. </w:t>
            </w:r>
          </w:p>
          <w:p w14:paraId="572DF0FB"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ListParagraph"/>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gNB cannot optimally react to some cases, if the slot aggregation is used.</w:t>
            </w:r>
          </w:p>
          <w:p w14:paraId="085750E6"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ListParagraph"/>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Observation 19 : If all the HARQ feedback are disabled, gNB cannot optimally react to all cases</w:t>
            </w:r>
          </w:p>
          <w:p w14:paraId="25D295BF"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ListParagraph"/>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w:t>
            </w:r>
          </w:p>
          <w:p w14:paraId="54BEEC34" w14:textId="77777777" w:rsidR="00460E72" w:rsidRDefault="00A748DC">
            <w:pPr>
              <w:pStyle w:val="ListParagraph"/>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155D0983"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2D42A4C8" w14:textId="77777777" w:rsidR="00460E72" w:rsidRDefault="00A748DC">
            <w:pPr>
              <w:pStyle w:val="ListParagraph"/>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6BE23795" w14:textId="77777777" w:rsidR="00460E72" w:rsidRDefault="00A748DC">
            <w:pPr>
              <w:pStyle w:val="ListParagraph"/>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w:t>
            </w:r>
            <w:proofErr w:type="gramStart"/>
            <w:r>
              <w:rPr>
                <w:rFonts w:ascii="Times New Roman" w:hAnsi="Times New Roman"/>
                <w:sz w:val="20"/>
                <w:szCs w:val="20"/>
                <w:lang w:eastAsia="ko-KR"/>
              </w:rPr>
              <w:t>PUSCH :</w:t>
            </w:r>
            <w:proofErr w:type="gramEnd"/>
            <w:r>
              <w:rPr>
                <w:rFonts w:ascii="Times New Roman" w:hAnsi="Times New Roman"/>
                <w:sz w:val="20"/>
                <w:szCs w:val="20"/>
                <w:lang w:eastAsia="ko-KR"/>
              </w:rPr>
              <w:t xml:space="preserve"> 8 aggregated transmission might be insufficient even if low SE MCS table is applied.</w:t>
            </w:r>
          </w:p>
          <w:p w14:paraId="607B52ED" w14:textId="77777777" w:rsidR="00460E72" w:rsidRDefault="00A748DC">
            <w:pPr>
              <w:pStyle w:val="ListParagraph"/>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ListParagraph"/>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ListParagraph"/>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ListParagraph"/>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ListParagraph"/>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otherwise, 8 aggregated transmission might be insufficient</w:t>
            </w:r>
          </w:p>
          <w:p w14:paraId="34E70982" w14:textId="77777777" w:rsidR="00460E72" w:rsidRDefault="00A748DC">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1E648204" w14:textId="77777777" w:rsidR="00460E72" w:rsidRDefault="00A748DC">
            <w:pPr>
              <w:pStyle w:val="ListParagraph"/>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ListParagraph"/>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0D9625AF"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minimizing specification impact.</w:t>
            </w:r>
          </w:p>
          <w:p w14:paraId="7396B1D1"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ListParagraph"/>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ListParagraph"/>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ListParagraph"/>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ListParagraph"/>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18AEE2BC" w14:textId="77777777" w:rsidR="00460E72" w:rsidRDefault="00A748DC">
            <w:pPr>
              <w:pStyle w:val="ListParagraph"/>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Hyperlink"/>
                  <w:rFonts w:ascii="Times New Roman" w:hAnsi="Times New Roman" w:cs="Times New Roman"/>
                  <w:b w:val="0"/>
                  <w:sz w:val="20"/>
                  <w:szCs w:val="20"/>
                </w:rPr>
                <w:t>Observation 1</w:t>
              </w:r>
              <w:r>
                <w:rPr>
                  <w:rFonts w:ascii="Times New Roman" w:hAnsi="Times New Roman" w:cs="Times New Roman"/>
                  <w:b w:val="0"/>
                  <w:sz w:val="20"/>
                  <w:szCs w:val="20"/>
                </w:rPr>
                <w:tab/>
              </w:r>
              <w:r>
                <w:rPr>
                  <w:rStyle w:val="Hyperlink"/>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8" w:history="1">
              <w:r w:rsidR="00A748DC">
                <w:rPr>
                  <w:rStyle w:val="Hyperlink"/>
                  <w:rFonts w:ascii="Times New Roman" w:hAnsi="Times New Roman" w:cs="Times New Roman"/>
                  <w:b w:val="0"/>
                  <w:sz w:val="20"/>
                  <w:szCs w:val="20"/>
                </w:rPr>
                <w:t>Observation 2</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19" w:history="1">
              <w:r w:rsidR="00A748DC">
                <w:rPr>
                  <w:rStyle w:val="Hyperlink"/>
                  <w:rFonts w:ascii="Times New Roman" w:hAnsi="Times New Roman" w:cs="Times New Roman"/>
                  <w:b w:val="0"/>
                  <w:sz w:val="20"/>
                  <w:szCs w:val="20"/>
                </w:rPr>
                <w:t>Observation 3</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0" w:history="1">
              <w:r w:rsidR="00A748DC">
                <w:rPr>
                  <w:rStyle w:val="Hyperlink"/>
                  <w:rFonts w:ascii="Times New Roman" w:hAnsi="Times New Roman" w:cs="Times New Roman"/>
                  <w:b w:val="0"/>
                  <w:sz w:val="20"/>
                  <w:szCs w:val="20"/>
                </w:rPr>
                <w:t>Observation 4</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1" w:history="1">
              <w:r w:rsidR="00A748DC">
                <w:rPr>
                  <w:rStyle w:val="Hyperlink"/>
                  <w:rFonts w:ascii="Times New Roman" w:hAnsi="Times New Roman" w:cs="Times New Roman"/>
                  <w:b w:val="0"/>
                  <w:sz w:val="20"/>
                  <w:szCs w:val="20"/>
                </w:rPr>
                <w:t>Observation 5</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2" w:history="1">
              <w:r w:rsidR="00A748DC">
                <w:rPr>
                  <w:rStyle w:val="Hyperlink"/>
                  <w:rFonts w:ascii="Times New Roman" w:hAnsi="Times New Roman" w:cs="Times New Roman"/>
                  <w:b w:val="0"/>
                  <w:sz w:val="20"/>
                  <w:szCs w:val="20"/>
                </w:rPr>
                <w:t>Observation 6</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3" w:history="1">
              <w:r w:rsidR="00A748DC">
                <w:rPr>
                  <w:rStyle w:val="Hyperlink"/>
                  <w:rFonts w:ascii="Times New Roman" w:hAnsi="Times New Roman" w:cs="Times New Roman"/>
                  <w:b w:val="0"/>
                  <w:sz w:val="20"/>
                  <w:szCs w:val="20"/>
                </w:rPr>
                <w:t>Observation 7</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4" w:history="1">
              <w:r w:rsidR="00A748DC">
                <w:rPr>
                  <w:rStyle w:val="Hyperlink"/>
                  <w:rFonts w:ascii="Times New Roman" w:hAnsi="Times New Roman" w:cs="Times New Roman"/>
                  <w:b w:val="0"/>
                  <w:sz w:val="20"/>
                  <w:szCs w:val="20"/>
                </w:rPr>
                <w:t>Observation 8</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5" w:history="1">
              <w:r w:rsidR="00A748DC">
                <w:rPr>
                  <w:rStyle w:val="Hyperlink"/>
                  <w:rFonts w:ascii="Times New Roman" w:hAnsi="Times New Roman" w:cs="Times New Roman"/>
                  <w:b w:val="0"/>
                  <w:sz w:val="20"/>
                  <w:szCs w:val="20"/>
                </w:rPr>
                <w:t>Observation 9</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6" w:history="1">
              <w:r w:rsidR="00A748DC">
                <w:rPr>
                  <w:rStyle w:val="Hyperlink"/>
                  <w:rFonts w:ascii="Times New Roman" w:hAnsi="Times New Roman" w:cs="Times New Roman"/>
                  <w:b w:val="0"/>
                  <w:sz w:val="20"/>
                  <w:szCs w:val="20"/>
                </w:rPr>
                <w:t>Observation 10</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BodyText"/>
              <w:snapToGrid w:val="0"/>
              <w:spacing w:after="0"/>
              <w:rPr>
                <w:rFonts w:ascii="Times New Roman" w:hAnsi="Times New Roman"/>
                <w:szCs w:val="20"/>
              </w:rPr>
            </w:pPr>
            <w:r>
              <w:rPr>
                <w:rFonts w:ascii="Times New Roman" w:hAnsi="Times New Roman"/>
                <w:szCs w:val="20"/>
              </w:rPr>
              <w:fldChar w:fldCharType="end"/>
            </w:r>
          </w:p>
          <w:p w14:paraId="5CF728DB" w14:textId="77777777" w:rsidR="00460E72" w:rsidRDefault="00A748DC">
            <w:pPr>
              <w:pStyle w:val="TableofFigures"/>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Hyperlink"/>
                  <w:rFonts w:ascii="Times New Roman" w:hAnsi="Times New Roman" w:cs="Times New Roman"/>
                  <w:b w:val="0"/>
                  <w:sz w:val="20"/>
                  <w:szCs w:val="20"/>
                </w:rPr>
                <w:t>Proposal 1</w:t>
              </w:r>
              <w:r>
                <w:rPr>
                  <w:rFonts w:ascii="Times New Roman" w:hAnsi="Times New Roman" w:cs="Times New Roman"/>
                  <w:b w:val="0"/>
                  <w:sz w:val="20"/>
                  <w:szCs w:val="20"/>
                </w:rPr>
                <w:tab/>
              </w:r>
              <w:r>
                <w:rPr>
                  <w:rStyle w:val="Hyperlink"/>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8" w:history="1">
              <w:r w:rsidR="00A748DC">
                <w:rPr>
                  <w:rStyle w:val="Hyperlink"/>
                  <w:rFonts w:ascii="Times New Roman" w:hAnsi="Times New Roman" w:cs="Times New Roman"/>
                  <w:b w:val="0"/>
                  <w:sz w:val="20"/>
                  <w:szCs w:val="20"/>
                </w:rPr>
                <w:t>Proposal 2</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Whether 32 HARQ processes are used or not in the downlink can be configured by RRC.</w:t>
              </w:r>
            </w:hyperlink>
          </w:p>
          <w:p w14:paraId="110A7D76"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29" w:history="1">
              <w:r w:rsidR="00A748DC">
                <w:rPr>
                  <w:rStyle w:val="Hyperlink"/>
                  <w:rFonts w:ascii="Times New Roman" w:hAnsi="Times New Roman" w:cs="Times New Roman"/>
                  <w:b w:val="0"/>
                  <w:sz w:val="20"/>
                  <w:szCs w:val="20"/>
                </w:rPr>
                <w:t>Proposal 3</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0" w:history="1">
              <w:r w:rsidR="00A748DC">
                <w:rPr>
                  <w:rStyle w:val="Hyperlink"/>
                  <w:rFonts w:ascii="Times New Roman" w:hAnsi="Times New Roman" w:cs="Times New Roman"/>
                  <w:b w:val="0"/>
                  <w:sz w:val="20"/>
                  <w:szCs w:val="20"/>
                </w:rPr>
                <w:t>Proposal 4</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Do not support 32 HARQ processes with fallback DCI.</w:t>
              </w:r>
            </w:hyperlink>
          </w:p>
          <w:p w14:paraId="5CC14348"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1" w:history="1">
              <w:r w:rsidR="00A748DC">
                <w:rPr>
                  <w:rStyle w:val="Hyperlink"/>
                  <w:rFonts w:ascii="Times New Roman" w:hAnsi="Times New Roman" w:cs="Times New Roman"/>
                  <w:b w:val="0"/>
                  <w:sz w:val="20"/>
                  <w:szCs w:val="20"/>
                </w:rPr>
                <w:t>Proposal 5</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RAN1 to discuss what parameters need to be configured differently for HARQ processes with feedback and HARQ processes without feedback. One example parameter is aggregation factor.</w:t>
              </w:r>
            </w:hyperlink>
          </w:p>
          <w:p w14:paraId="7D3F1225"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2" w:history="1">
              <w:r w:rsidR="00A748DC">
                <w:rPr>
                  <w:rStyle w:val="Hyperlink"/>
                  <w:rFonts w:ascii="Times New Roman" w:hAnsi="Times New Roman" w:cs="Times New Roman"/>
                  <w:b w:val="0"/>
                  <w:sz w:val="20"/>
                  <w:szCs w:val="20"/>
                </w:rPr>
                <w:t>Proposal 6</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3" w:history="1">
              <w:r w:rsidR="00A748DC">
                <w:rPr>
                  <w:rStyle w:val="Hyperlink"/>
                  <w:rFonts w:ascii="Times New Roman" w:hAnsi="Times New Roman" w:cs="Times New Roman"/>
                  <w:b w:val="0"/>
                  <w:sz w:val="20"/>
                  <w:szCs w:val="20"/>
                </w:rPr>
                <w:t>Proposal 7</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4" w:history="1">
              <w:r w:rsidR="00A748DC">
                <w:rPr>
                  <w:rStyle w:val="Hyperlink"/>
                  <w:rFonts w:ascii="Times New Roman" w:hAnsi="Times New Roman" w:cs="Times New Roman"/>
                  <w:b w:val="0"/>
                  <w:sz w:val="20"/>
                  <w:szCs w:val="20"/>
                </w:rPr>
                <w:t>Proposal 8</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5" w:history="1">
              <w:r w:rsidR="00A748DC">
                <w:rPr>
                  <w:rStyle w:val="Hyperlink"/>
                  <w:rFonts w:ascii="Times New Roman" w:hAnsi="Times New Roman" w:cs="Times New Roman"/>
                  <w:b w:val="0"/>
                  <w:sz w:val="20"/>
                  <w:szCs w:val="20"/>
                </w:rPr>
                <w:t>Proposal 9</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6" w:history="1">
              <w:r w:rsidR="00A748DC">
                <w:rPr>
                  <w:rStyle w:val="Hyperlink"/>
                  <w:rFonts w:ascii="Times New Roman" w:hAnsi="Times New Roman" w:cs="Times New Roman"/>
                  <w:b w:val="0"/>
                  <w:sz w:val="20"/>
                  <w:szCs w:val="20"/>
                </w:rPr>
                <w:t>Proposal 10</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EC52F2">
            <w:pPr>
              <w:pStyle w:val="TableofFigures"/>
              <w:tabs>
                <w:tab w:val="right" w:leader="dot" w:pos="9629"/>
              </w:tabs>
              <w:adjustRightInd w:val="0"/>
              <w:snapToGrid w:val="0"/>
              <w:spacing w:after="0"/>
              <w:rPr>
                <w:rFonts w:ascii="Times New Roman" w:hAnsi="Times New Roman" w:cs="Times New Roman"/>
                <w:b w:val="0"/>
                <w:sz w:val="20"/>
                <w:szCs w:val="20"/>
              </w:rPr>
            </w:pPr>
            <w:hyperlink w:anchor="_Toc79154037" w:history="1">
              <w:r w:rsidR="00A748DC">
                <w:rPr>
                  <w:rStyle w:val="Hyperlink"/>
                  <w:rFonts w:ascii="Times New Roman" w:hAnsi="Times New Roman" w:cs="Times New Roman"/>
                  <w:b w:val="0"/>
                  <w:sz w:val="20"/>
                  <w:szCs w:val="20"/>
                </w:rPr>
                <w:t>a.</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EC52F2">
            <w:pPr>
              <w:pStyle w:val="TableofFigures"/>
              <w:tabs>
                <w:tab w:val="right" w:leader="dot" w:pos="9629"/>
              </w:tabs>
              <w:adjustRightInd w:val="0"/>
              <w:snapToGrid w:val="0"/>
              <w:spacing w:after="0"/>
              <w:rPr>
                <w:rFonts w:ascii="Times New Roman" w:eastAsia="Malgun Gothic" w:hAnsi="Times New Roman" w:cs="Times New Roman"/>
                <w:b w:val="0"/>
                <w:sz w:val="20"/>
                <w:szCs w:val="20"/>
                <w:lang w:eastAsia="ko-KR"/>
              </w:rPr>
            </w:pPr>
            <w:hyperlink w:anchor="_Toc79154038" w:history="1">
              <w:r w:rsidR="00A748DC">
                <w:rPr>
                  <w:rStyle w:val="Hyperlink"/>
                  <w:rFonts w:ascii="Times New Roman" w:hAnsi="Times New Roman" w:cs="Times New Roman"/>
                  <w:b w:val="0"/>
                  <w:sz w:val="20"/>
                  <w:szCs w:val="20"/>
                </w:rPr>
                <w:t>b.</w:t>
              </w:r>
              <w:r w:rsidR="00A748DC">
                <w:rPr>
                  <w:rFonts w:ascii="Times New Roman" w:hAnsi="Times New Roman" w:cs="Times New Roman"/>
                  <w:b w:val="0"/>
                  <w:sz w:val="20"/>
                  <w:szCs w:val="20"/>
                </w:rPr>
                <w:tab/>
              </w:r>
              <w:r w:rsidR="00A748DC">
                <w:rPr>
                  <w:rStyle w:val="Hyperlink"/>
                  <w:rFonts w:ascii="Times New Roman" w:hAnsi="Times New Roman" w:cs="Times New Roman"/>
                  <w:b w:val="0"/>
                  <w:sz w:val="20"/>
                  <w:szCs w:val="20"/>
                </w:rPr>
                <w:t>Alt-2: the “out-of-order restriction” for (enabled) HARQ processes does not apply to disabled HARQ processes.</w:t>
              </w:r>
            </w:hyperlink>
            <w:r w:rsidR="00A748DC">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SPS-Config.</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t xml:space="preserve">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 xml:space="preserve">For Type 2 HARQ-ACK CB, DCI for SPS release and DCI for </w:t>
            </w:r>
            <w:proofErr w:type="spellStart"/>
            <w:r>
              <w:rPr>
                <w:rFonts w:eastAsiaTheme="minorEastAsia"/>
              </w:rPr>
              <w:t>SCell</w:t>
            </w:r>
            <w:proofErr w:type="spellEnd"/>
            <w:r>
              <w:rPr>
                <w:rFonts w:eastAsiaTheme="minorEastAsia"/>
              </w:rPr>
              <w:t xml:space="preserve">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 xml:space="preserve">For </w:t>
            </w:r>
            <w:proofErr w:type="spellStart"/>
            <w:r>
              <w:rPr>
                <w:rFonts w:eastAsiaTheme="minorEastAsia"/>
              </w:rPr>
              <w:t>SCell</w:t>
            </w:r>
            <w:proofErr w:type="spellEnd"/>
            <w:r>
              <w:rPr>
                <w:rFonts w:eastAsiaTheme="minorEastAsia"/>
              </w:rPr>
              <w:t xml:space="preserve">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t>R1-2107920</w:t>
            </w:r>
          </w:p>
          <w:p w14:paraId="1DC17388" w14:textId="77777777" w:rsidR="00460E72" w:rsidRDefault="00A748DC">
            <w:pPr>
              <w:snapToGrid w:val="0"/>
              <w:spacing w:after="0"/>
              <w:jc w:val="center"/>
            </w:pPr>
            <w:r>
              <w:t>Xiaomi</w:t>
            </w:r>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1-a for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NoSpacing"/>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Batang" w:hAnsi="Times New Roman" w:cs="Times New Roman"/>
                <w:bCs/>
                <w:iCs/>
                <w:lang w:eastAsia="ko-KR"/>
              </w:rPr>
              <w:t>that is in response to a detection of the DCI format 1_2 that does not include a DAI field.</w:t>
            </w:r>
          </w:p>
          <w:p w14:paraId="2A5E696A"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NoSpacing"/>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NoSpacing"/>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proofErr w:type="spellStart"/>
            <w:r>
              <w:t>InterDigital</w:t>
            </w:r>
            <w:proofErr w:type="spellEnd"/>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t>Observation 2: When a DL SPS resource is activated, a HARQ process ID is associated to the SPS resource.</w:t>
            </w:r>
          </w:p>
          <w:p w14:paraId="053389A0" w14:textId="77777777" w:rsidR="00460E72" w:rsidRDefault="00A748DC">
            <w:pPr>
              <w:snapToGrid w:val="0"/>
              <w:spacing w:after="0"/>
              <w:rPr>
                <w:bCs/>
              </w:rPr>
            </w:pPr>
            <w:r>
              <w:rPr>
                <w:bCs/>
              </w:rPr>
              <w:t>Observation 3: gNB knows in advance which HARQ processes are assigned for DL SPS</w:t>
            </w:r>
          </w:p>
          <w:p w14:paraId="25336318" w14:textId="77777777" w:rsidR="00460E72" w:rsidRDefault="00A748DC">
            <w:pPr>
              <w:snapToGrid w:val="0"/>
              <w:spacing w:after="0"/>
              <w:rPr>
                <w:bCs/>
              </w:rPr>
            </w:pPr>
            <w:r>
              <w:rPr>
                <w:bCs/>
              </w:rPr>
              <w:t>Observation 4: Using option 1 or option 1-a would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tab/>
      </w:r>
    </w:p>
    <w:sectPr w:rsidR="00460E72">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D62A" w14:textId="77777777" w:rsidR="00EC52F2" w:rsidRDefault="00EC52F2">
      <w:r>
        <w:separator/>
      </w:r>
    </w:p>
  </w:endnote>
  <w:endnote w:type="continuationSeparator" w:id="0">
    <w:p w14:paraId="68613A8F" w14:textId="77777777" w:rsidR="00EC52F2" w:rsidRDefault="00EC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75E" w14:textId="77777777" w:rsidR="00A748DC" w:rsidRDefault="00A74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25560" w14:textId="77777777" w:rsidR="00A748DC" w:rsidRDefault="00A748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4167" w14:textId="734FAB03" w:rsidR="00A748DC" w:rsidRDefault="00A748DC">
    <w:pPr>
      <w:pStyle w:val="Footer"/>
      <w:ind w:right="360"/>
    </w:pPr>
    <w:r>
      <w:rPr>
        <w:rStyle w:val="PageNumber"/>
      </w:rPr>
      <w:fldChar w:fldCharType="begin"/>
    </w:r>
    <w:r>
      <w:rPr>
        <w:rStyle w:val="PageNumber"/>
      </w:rPr>
      <w:instrText xml:space="preserve"> PAGE </w:instrText>
    </w:r>
    <w:r>
      <w:rPr>
        <w:rStyle w:val="PageNumber"/>
      </w:rPr>
      <w:fldChar w:fldCharType="separate"/>
    </w:r>
    <w:r w:rsidR="00A85E85">
      <w:rPr>
        <w:rStyle w:val="PageNumber"/>
        <w:noProof/>
      </w:rPr>
      <w:t>55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5E85">
      <w:rPr>
        <w:rStyle w:val="PageNumber"/>
        <w:noProof/>
      </w:rPr>
      <w:t>72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F0CA" w14:textId="77777777" w:rsidR="00EC52F2" w:rsidRDefault="00EC52F2">
      <w:pPr>
        <w:spacing w:before="0" w:after="0"/>
      </w:pPr>
      <w:r>
        <w:separator/>
      </w:r>
    </w:p>
  </w:footnote>
  <w:footnote w:type="continuationSeparator" w:id="0">
    <w:p w14:paraId="3296DFAD" w14:textId="77777777" w:rsidR="00EC52F2" w:rsidRDefault="00EC52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4E4A" w14:textId="77777777" w:rsidR="00A748DC" w:rsidRDefault="00A748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15:restartNumberingAfterBreak="0">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15:restartNumberingAfterBreak="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A015DE"/>
    <w:multiLevelType w:val="multilevel"/>
    <w:tmpl w:val="29A015DE"/>
    <w:lvl w:ilvl="0">
      <w:numFmt w:val="bullet"/>
      <w:lvlText w:val="·"/>
      <w:lvlJc w:val="left"/>
      <w:pPr>
        <w:ind w:left="980" w:hanging="420"/>
      </w:pPr>
      <w:rPr>
        <w:rFonts w:ascii="Times" w:eastAsia="Batang"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15:restartNumberingAfterBreak="0">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15:restartNumberingAfterBreak="0">
    <w:nsid w:val="343F01F3"/>
    <w:multiLevelType w:val="multilevel"/>
    <w:tmpl w:val="343F01F3"/>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70C4F"/>
    <w:multiLevelType w:val="multilevel"/>
    <w:tmpl w:val="35F70C4F"/>
    <w:lvl w:ilvl="0">
      <w:numFmt w:val="bullet"/>
      <w:lvlText w:val="-"/>
      <w:lvlJc w:val="left"/>
      <w:pPr>
        <w:ind w:left="780" w:hanging="360"/>
      </w:pPr>
      <w:rPr>
        <w:rFonts w:ascii="Malgun Gothic" w:eastAsia="Malgun Gothic" w:hAnsi="Malgun Gothic"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15:restartNumberingAfterBreak="0">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15:restartNumberingAfterBreak="0">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15:restartNumberingAfterBreak="0">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15:restartNumberingAfterBreak="0">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15:restartNumberingAfterBreak="0">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15:restartNumberingAfterBreak="0">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15:restartNumberingAfterBreak="0">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93"/>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665"/>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D67"/>
    <w:rsid w:val="00035E4A"/>
    <w:rsid w:val="00036A16"/>
    <w:rsid w:val="00036C45"/>
    <w:rsid w:val="00036D25"/>
    <w:rsid w:val="00036E8B"/>
    <w:rsid w:val="00036FA7"/>
    <w:rsid w:val="00037738"/>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1DA"/>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562"/>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2FE4"/>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629"/>
    <w:rsid w:val="001978CC"/>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2C8"/>
    <w:rsid w:val="002A5343"/>
    <w:rsid w:val="002A5488"/>
    <w:rsid w:val="002A54CC"/>
    <w:rsid w:val="002A5915"/>
    <w:rsid w:val="002A5932"/>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A8A"/>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C1D"/>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C90"/>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5B3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3EA5"/>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94C"/>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4972"/>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0DF"/>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6D"/>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C61"/>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4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981"/>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2CCA"/>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4FD8"/>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0F9"/>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E85"/>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375"/>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465"/>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526"/>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7ED"/>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D48"/>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1E0"/>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2F2"/>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D37"/>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ECD6A"/>
  <w15:docId w15:val="{46C1BFEC-6C52-49A2-A273-2E115E7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00" w:beforeAutospacing="1" w:after="180"/>
    </w:pPr>
    <w:rPr>
      <w:rFonts w:eastAsia="SimSun"/>
      <w:sz w:val="24"/>
      <w:szCs w:val="24"/>
      <w:lang w:val="en-US" w:eastAsia="zh-CN"/>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spacing w:after="100" w:afterAutospacing="1"/>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val="en-US"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style>
  <w:style w:type="paragraph" w:customStyle="1" w:styleId="Equation">
    <w:name w:val="Equation"/>
    <w:basedOn w:val="Normal"/>
    <w:next w:val="Normal"/>
    <w:qFormat/>
    <w:pPr>
      <w:tabs>
        <w:tab w:val="right" w:pos="10206"/>
      </w:tabs>
      <w:spacing w:after="220"/>
      <w:ind w:left="1298"/>
    </w:pPr>
    <w:rPr>
      <w:rFonts w:ascii="Arial" w:hAnsi="Arial"/>
      <w:sz w:val="22"/>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after="0"/>
      <w:ind w:left="601" w:hanging="601"/>
    </w:pPr>
    <w:rPr>
      <w:rFonts w:eastAsia="Batang"/>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Normal"/>
    <w:next w:val="Normal"/>
    <w:uiPriority w:val="99"/>
    <w:qFormat/>
    <w:pPr>
      <w:spacing w:after="0"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spacing w:after="0"/>
    </w:pPr>
    <w:rPr>
      <w:rFonts w:ascii="Times" w:eastAsia="Batang"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spacing w:after="0"/>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Batang"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Batang" w:hAnsi="Times"/>
      <w:sz w:val="20"/>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spacing w:after="0"/>
      <w:ind w:leftChars="400" w:left="840"/>
    </w:pPr>
    <w:rPr>
      <w:rFonts w:eastAsia="MS Gothic"/>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line="259" w:lineRule="auto"/>
      <w:ind w:left="720" w:hanging="720"/>
    </w:pPr>
    <w:rPr>
      <w:rFonts w:ascii="Times" w:eastAsia="SimSun" w:hAnsi="Times" w:cs="Times"/>
      <w:sz w:val="24"/>
      <w:szCs w:val="24"/>
      <w:lang w:val="en-US" w:eastAsia="zh-CN"/>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BodyText"/>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jc w:val="both"/>
    </w:pPr>
    <w:rPr>
      <w:sz w:val="22"/>
      <w:szCs w:val="22"/>
      <w:lang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SimSun"/>
      <w:lang w:val="en-GB" w:eastAsia="en-US"/>
    </w:rPr>
  </w:style>
  <w:style w:type="paragraph" w:customStyle="1" w:styleId="Default">
    <w:name w:val="Default"/>
    <w:qFormat/>
    <w:pPr>
      <w:autoSpaceDE w:val="0"/>
      <w:autoSpaceDN w:val="0"/>
      <w:adjustRightInd w:val="0"/>
      <w:spacing w:after="160" w:line="259" w:lineRule="auto"/>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character" w:customStyle="1" w:styleId="B2Char">
    <w:name w:val="B2 Char"/>
    <w:basedOn w:val="DefaultParagraphFont"/>
    <w:link w:val="B2"/>
    <w:qFormat/>
    <w:locked/>
    <w:rPr>
      <w:rFonts w:eastAsia="SimSun"/>
      <w:lang w:val="en-GB" w:eastAsia="en-US"/>
    </w:rPr>
  </w:style>
  <w:style w:type="paragraph" w:customStyle="1" w:styleId="2">
    <w:name w:val="正文2"/>
    <w:qFormat/>
    <w:pPr>
      <w:spacing w:before="100" w:beforeAutospacing="1" w:after="180" w:line="259" w:lineRule="auto"/>
    </w:pPr>
    <w:rPr>
      <w:rFonts w:eastAsia="SimSun"/>
      <w:sz w:val="24"/>
      <w:szCs w:val="24"/>
      <w:lang w:val="en-US" w:eastAsia="zh-CN"/>
    </w:rPr>
  </w:style>
  <w:style w:type="paragraph" w:customStyle="1" w:styleId="41">
    <w:name w:val="标题 41"/>
    <w:basedOn w:val="Normal"/>
    <w:next w:val="2"/>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Normal"/>
    <w:qFormat/>
    <w:pPr>
      <w:spacing w:after="160" w:line="256" w:lineRule="auto"/>
      <w:ind w:left="720"/>
      <w:contextualSpacing/>
    </w:pPr>
    <w:rPr>
      <w:rFonts w:ascii="Calibri" w:hAnsi="Calibri" w:cs="Calibri"/>
      <w:sz w:val="22"/>
      <w:szCs w:val="22"/>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9"/>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jc w:val="both"/>
    </w:pPr>
    <w:rPr>
      <w:rFonts w:ascii="Arial" w:eastAsia="나눔바른고딕" w:hAnsi="Arial" w:cstheme="minorBidi"/>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F62F4-E7A2-41B8-979B-D0E4E968897B}">
  <ds:schemaRefs>
    <ds:schemaRef ds:uri="http://schemas.openxmlformats.org/officeDocument/2006/bibliography"/>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72</Pages>
  <Words>21460</Words>
  <Characters>122323</Characters>
  <Application>Microsoft Office Word</Application>
  <DocSecurity>0</DocSecurity>
  <Lines>1019</Lines>
  <Paragraphs>286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Xiao feng Wang</cp:lastModifiedBy>
  <cp:revision>28</cp:revision>
  <cp:lastPrinted>2011-11-09T07:49:00Z</cp:lastPrinted>
  <dcterms:created xsi:type="dcterms:W3CDTF">2021-08-23T12:58:00Z</dcterms:created>
  <dcterms:modified xsi:type="dcterms:W3CDTF">2021-08-23T19:39:00Z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