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hint="eastAsia"/>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lastRenderedPageBreak/>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 xml:space="preserve">any other options will cause potential ambiguity between </w:t>
            </w:r>
            <w:proofErr w:type="spellStart"/>
            <w:r>
              <w:rPr>
                <w:lang w:eastAsia="zh-CN"/>
              </w:rPr>
              <w:t>gNB</w:t>
            </w:r>
            <w:proofErr w:type="spellEnd"/>
            <w:r>
              <w:rPr>
                <w:lang w:eastAsia="zh-CN"/>
              </w:rPr>
              <w:t xml:space="preserve">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hint="eastAsia"/>
                <w:lang w:eastAsia="zh-CN"/>
              </w:rPr>
            </w:pPr>
            <w:r>
              <w:rPr>
                <w:rFonts w:eastAsiaTheme="minorEastAsia" w:hint="eastAsia"/>
                <w:lang w:eastAsia="zh-CN"/>
              </w:rPr>
              <w:t>O</w:t>
            </w:r>
            <w:r>
              <w:rPr>
                <w:rFonts w:eastAsiaTheme="minorEastAsia"/>
                <w:lang w:eastAsia="zh-CN"/>
              </w:rPr>
              <w:t>ption 4 is preferred.</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lastRenderedPageBreak/>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 xml:space="preserve">increase the DL transmission throughput. The RAN1 agreements (quoted below) at the current stage can already address this motivation. We think no further enhancement is </w:t>
            </w:r>
            <w:r>
              <w:lastRenderedPageBreak/>
              <w:t>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hint="eastAsia"/>
                <w:lang w:eastAsia="zh-CN"/>
              </w:rPr>
            </w:pPr>
            <w:r>
              <w:rPr>
                <w:rFonts w:eastAsiaTheme="minorEastAsia" w:hint="eastAsia"/>
                <w:lang w:eastAsia="zh-CN"/>
              </w:rPr>
              <w:t>W</w:t>
            </w:r>
            <w:r>
              <w:rPr>
                <w:rFonts w:eastAsiaTheme="minorEastAsia"/>
                <w:lang w:eastAsia="zh-CN"/>
              </w:rPr>
              <w:t>e share similar view as Apple.</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f1"/>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lastRenderedPageBreak/>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w:t>
      </w:r>
      <w:proofErr w:type="gramStart"/>
      <w:r>
        <w:rPr>
          <w:rFonts w:ascii="Times New Roman" w:eastAsiaTheme="minorEastAsia" w:hAnsi="Times New Roman"/>
          <w:bCs/>
          <w:color w:val="000000" w:themeColor="text1"/>
          <w:sz w:val="20"/>
          <w:szCs w:val="20"/>
        </w:rPr>
        <w:t>feedback-enabled</w:t>
      </w:r>
      <w:proofErr w:type="gramEnd"/>
      <w:r>
        <w:rPr>
          <w:rFonts w:ascii="Times New Roman" w:eastAsiaTheme="minorEastAsia" w:hAnsi="Times New Roman"/>
          <w:bCs/>
          <w:color w:val="000000" w:themeColor="text1"/>
          <w:sz w:val="20"/>
          <w:szCs w:val="20"/>
        </w:rPr>
        <w:t xml:space="preserve">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lastRenderedPageBreak/>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 xml:space="preserve">Same view with Nokia. The concept of type 1 HARQ-ACK CB is to keep codebook size irrespective of presence of DL assignments. For example, when 5 DL assignments are transmitted but only 4 are received. Even in this </w:t>
            </w:r>
            <w:r>
              <w:lastRenderedPageBreak/>
              <w:t>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 xml:space="preserve">We think codebook construction can also be optimized to reduce the overhead even in cases where not all HARQ processes are feedback-disabled and so codebook feedback cannot be skipped. We propose that UE does not reserve </w:t>
            </w:r>
            <w:r>
              <w:lastRenderedPageBreak/>
              <w:t>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the proposal to harvest the gain.</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hint="eastAsia"/>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hint="eastAsia"/>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hint="eastAsia"/>
                <w:lang w:eastAsia="zh-CN"/>
              </w:rPr>
            </w:pPr>
            <w:r>
              <w:rPr>
                <w:rFonts w:eastAsiaTheme="minorEastAsia" w:hint="eastAsia"/>
                <w:lang w:eastAsia="zh-CN"/>
              </w:rPr>
              <w:t>S</w:t>
            </w:r>
            <w:r>
              <w:rPr>
                <w:rFonts w:eastAsiaTheme="minorEastAsia"/>
                <w:lang w:eastAsia="zh-CN"/>
              </w:rPr>
              <w:t>upport the proposal.</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lastRenderedPageBreak/>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 xml:space="preserve">separate SPS PDSCH activation and DCI dynamically scheduled PDSCH. In legacy system, they </w:t>
            </w:r>
            <w:r>
              <w:lastRenderedPageBreak/>
              <w:t>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 xml:space="preserve">lt.2 needs more clarification. The HARQ process number field is unavailable in SPS activation and release. Does it mean reusing the formula of </w:t>
            </w:r>
            <w:r>
              <w:rPr>
                <w:lang w:eastAsia="zh-CN"/>
              </w:rPr>
              <w:lastRenderedPageBreak/>
              <w:t>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w:t>
            </w:r>
            <w:proofErr w:type="spellStart"/>
            <w:r>
              <w:rPr>
                <w:rFonts w:eastAsia="MS Mincho"/>
                <w:lang w:eastAsia="zh-CN"/>
              </w:rPr>
              <w:t>can not</w:t>
            </w:r>
            <w:proofErr w:type="spellEnd"/>
            <w:r>
              <w:rPr>
                <w:rFonts w:eastAsia="MS Mincho"/>
                <w:lang w:eastAsia="zh-CN"/>
              </w:rPr>
              <w:t xml:space="preserve">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hint="eastAsia"/>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hint="eastAsia"/>
                <w:lang w:eastAsia="zh-CN"/>
              </w:rPr>
            </w:pPr>
            <w:r>
              <w:rPr>
                <w:rFonts w:eastAsiaTheme="minorEastAsia" w:hint="eastAsia"/>
                <w:lang w:eastAsia="zh-CN"/>
              </w:rPr>
              <w:t>F</w:t>
            </w:r>
            <w:r>
              <w:rPr>
                <w:rFonts w:eastAsiaTheme="minorEastAsia"/>
                <w:lang w:eastAsia="zh-CN"/>
              </w:rPr>
              <w:t>ine with the proposal and prefer Alt 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 xml:space="preserve">We do not see a need for optimizing the DCI sizes. The main problem as we see it is that the UE will not in advance be aware of whether the DCI is associated to a feedback enabled or a feedback disabled HARQ process. So, </w:t>
            </w:r>
            <w:r>
              <w:lastRenderedPageBreak/>
              <w:t>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hint="eastAsia"/>
                <w:lang w:eastAsia="zh-CN"/>
              </w:rPr>
            </w:pPr>
            <w:r>
              <w:rPr>
                <w:rFonts w:eastAsiaTheme="minorEastAsia" w:hint="eastAsia"/>
                <w:lang w:eastAsia="zh-CN"/>
              </w:rPr>
              <w:t>N</w:t>
            </w:r>
            <w:r>
              <w:rPr>
                <w:rFonts w:eastAsiaTheme="minorEastAsia"/>
                <w:lang w:eastAsia="zh-CN"/>
              </w:rPr>
              <w:t>ot needed for such kind of optimization.</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3F34DA">
      <w:pPr>
        <w:pStyle w:val="aff1"/>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3F34DA">
      <w:pPr>
        <w:pStyle w:val="aff1"/>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3F34DA">
      <w:pPr>
        <w:pStyle w:val="aff1"/>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lastRenderedPageBreak/>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the proposal.</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lastRenderedPageBreak/>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hint="eastAsia"/>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3F34DA">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1pt;height:186.6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lastRenderedPageBreak/>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hint="eastAsia"/>
                <w:lang w:eastAsia="zh-CN"/>
              </w:rPr>
            </w:pPr>
            <w:r>
              <w:rPr>
                <w:rFonts w:eastAsiaTheme="minorEastAsia"/>
                <w:lang w:eastAsia="zh-CN"/>
              </w:rPr>
              <w:t>Agree with the conclusion.</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lastRenderedPageBreak/>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e"/>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and prefer X=32.</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hint="eastAsia"/>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the proposal to guarantee reliability of MAC CE.</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lastRenderedPageBreak/>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zh-CN"/>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zh-CN"/>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lastRenderedPageBreak/>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lastRenderedPageBreak/>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3F34DA">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lastRenderedPageBreak/>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w:t>
            </w:r>
            <w:proofErr w:type="gramStart"/>
            <w:r>
              <w:rPr>
                <w:lang w:eastAsia="zh-CN"/>
              </w:rPr>
              <w:t>1:Additional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proofErr w:type="gramStart"/>
            <w:r>
              <w:rPr>
                <w:iCs/>
                <w:lang w:eastAsia="zh-CN"/>
              </w:rPr>
              <w:t>M</w:t>
            </w:r>
            <w:r>
              <w:rPr>
                <w:iCs/>
                <w:vertAlign w:val="subscript"/>
                <w:lang w:eastAsia="zh-CN"/>
              </w:rPr>
              <w:t>A,c</w:t>
            </w:r>
            <w:proofErr w:type="spellEnd"/>
            <w:proofErr w:type="gram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proofErr w:type="gram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proofErr w:type="gramStart"/>
            <w:r>
              <w:rPr>
                <w:rFonts w:ascii="Times New Roman" w:hAnsi="Times New Roman"/>
                <w:iCs/>
                <w:sz w:val="20"/>
                <w:szCs w:val="20"/>
                <w:lang w:eastAsia="zh-CN"/>
              </w:rPr>
              <w:t>MA,c</w:t>
            </w:r>
            <w:proofErr w:type="spellEnd"/>
            <w:proofErr w:type="gram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lastRenderedPageBreak/>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等线"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overflowPunct/>
              <w:autoSpaceDE/>
              <w:autoSpaceDN/>
              <w:snapToGrid w:val="0"/>
              <w:spacing w:after="0"/>
              <w:textAlignment w:val="auto"/>
              <w:rPr>
                <w:rFonts w:ascii="Times New Roman" w:eastAsia="等线" w:hAnsi="Times New Roman"/>
                <w:szCs w:val="20"/>
                <w:lang w:eastAsia="zh-CN"/>
              </w:rPr>
            </w:pPr>
            <w:r>
              <w:rPr>
                <w:rFonts w:ascii="Times New Roman" w:eastAsia="等线" w:hAnsi="Times New Roman"/>
                <w:szCs w:val="20"/>
                <w:lang w:eastAsia="zh-CN"/>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lastRenderedPageBreak/>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等线"/>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3F34DA">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3F34DA">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3F34DA">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3F34DA">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3F34DA">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3F34DA">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lastRenderedPageBreak/>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PUSCH :</w:t>
            </w:r>
            <w:proofErr w:type="gramEnd"/>
            <w:r>
              <w:rPr>
                <w:rFonts w:ascii="Times New Roman" w:hAnsi="Times New Roman"/>
                <w:sz w:val="20"/>
                <w:szCs w:val="20"/>
              </w:rPr>
              <w:t xml:space="preserve">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lastRenderedPageBreak/>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w:t>
            </w:r>
            <w:proofErr w:type="gramStart"/>
            <w:r>
              <w:rPr>
                <w:rFonts w:ascii="Times New Roman" w:hAnsi="Times New Roman"/>
                <w:sz w:val="20"/>
                <w:szCs w:val="20"/>
                <w:lang w:eastAsia="ko-KR"/>
              </w:rPr>
              <w:t>PUSCH :</w:t>
            </w:r>
            <w:proofErr w:type="gramEnd"/>
            <w:r>
              <w:rPr>
                <w:rFonts w:ascii="Times New Roman" w:hAnsi="Times New Roman"/>
                <w:sz w:val="20"/>
                <w:szCs w:val="20"/>
                <w:lang w:eastAsia="ko-KR"/>
              </w:rPr>
              <w:t xml:space="preserve">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lastRenderedPageBreak/>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lastRenderedPageBreak/>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 xml:space="preserve">In case of Type-1 HARQ codebook, when HARQ processes are enabled/disabled on a per HARQ process basis and the UE has not decoded DCI for a feedback-enabled </w:t>
              </w:r>
              <w:r w:rsidR="004926F7">
                <w:rPr>
                  <w:rStyle w:val="afd"/>
                  <w:rFonts w:ascii="Times New Roman" w:hAnsi="Times New Roman" w:cs="Times New Roman"/>
                  <w:b w:val="0"/>
                  <w:sz w:val="20"/>
                  <w:szCs w:val="20"/>
                </w:rPr>
                <w:lastRenderedPageBreak/>
                <w:t>HARQ process in any slot associated with the HARQ codebook, the UE omits sending the HARQ-ACK feedback to reduce UL interference and save UE battery consumption.</w:t>
              </w:r>
            </w:hyperlink>
          </w:p>
          <w:p w14:paraId="3367FE6B"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3F34DA">
            <w:pPr>
              <w:pStyle w:val="af8"/>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3F34DA">
            <w:pPr>
              <w:pStyle w:val="af8"/>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lastRenderedPageBreak/>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lastRenderedPageBreak/>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7"/>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lastRenderedPageBreak/>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06C2" w14:textId="77777777" w:rsidR="007876F0" w:rsidRDefault="007876F0">
      <w:pPr>
        <w:spacing w:after="0" w:line="240" w:lineRule="auto"/>
      </w:pPr>
      <w:r>
        <w:separator/>
      </w:r>
    </w:p>
  </w:endnote>
  <w:endnote w:type="continuationSeparator" w:id="0">
    <w:p w14:paraId="1270887C" w14:textId="77777777" w:rsidR="007876F0" w:rsidRDefault="0078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3F34DA" w:rsidRDefault="003F34D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3F34DA" w:rsidRDefault="003F34D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77777777" w:rsidR="003F34DA" w:rsidRDefault="003F34DA">
    <w:pPr>
      <w:pStyle w:val="af1"/>
      <w:ind w:right="360"/>
    </w:pPr>
    <w:r>
      <w:rPr>
        <w:rStyle w:val="afa"/>
      </w:rPr>
      <w:fldChar w:fldCharType="begin"/>
    </w:r>
    <w:r>
      <w:rPr>
        <w:rStyle w:val="afa"/>
      </w:rPr>
      <w:instrText xml:space="preserve"> PAGE </w:instrText>
    </w:r>
    <w:r>
      <w:rPr>
        <w:rStyle w:val="afa"/>
      </w:rPr>
      <w:fldChar w:fldCharType="separate"/>
    </w:r>
    <w:r>
      <w:rPr>
        <w:rStyle w:val="afa"/>
        <w:noProof/>
      </w:rPr>
      <w:t>21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Pr>
        <w:rStyle w:val="afa"/>
        <w:noProof/>
      </w:rPr>
      <w:t>37</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E3707" w14:textId="77777777" w:rsidR="007876F0" w:rsidRDefault="007876F0">
      <w:pPr>
        <w:spacing w:after="0" w:line="240" w:lineRule="auto"/>
      </w:pPr>
      <w:r>
        <w:separator/>
      </w:r>
    </w:p>
  </w:footnote>
  <w:footnote w:type="continuationSeparator" w:id="0">
    <w:p w14:paraId="027985C7" w14:textId="77777777" w:rsidR="007876F0" w:rsidRDefault="0078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US"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val="en-US"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ae"/>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9">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eastAsia="en-US"/>
    </w:rPr>
  </w:style>
  <w:style w:type="character" w:customStyle="1" w:styleId="a8">
    <w:name w:val="批注文字 字符"/>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2">
    <w:name w:val="列表段落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5">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宋体"/>
      <w:lang w:eastAsia="en-US"/>
    </w:rPr>
  </w:style>
  <w:style w:type="paragraph" w:customStyle="1" w:styleId="Default">
    <w:name w:val="Default"/>
    <w:qFormat/>
    <w:pPr>
      <w:autoSpaceDE w:val="0"/>
      <w:autoSpaceDN w:val="0"/>
      <w:adjustRightInd w:val="0"/>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7">
    <w:name w:val="脚注文本 字符"/>
    <w:link w:val="af6"/>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6">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7">
    <w:name w:val="No Spacing"/>
    <w:basedOn w:val="a1"/>
    <w:link w:val="aff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8">
    <w:name w:val="无间隔 字符"/>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43107E-67B6-4A52-9178-0202E8D4035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38</Pages>
  <Words>15455</Words>
  <Characters>88100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Hongmei HM6 Liu</cp:lastModifiedBy>
  <cp:revision>2</cp:revision>
  <cp:lastPrinted>2011-11-09T07:49:00Z</cp:lastPrinted>
  <dcterms:created xsi:type="dcterms:W3CDTF">2021-08-18T02:08:00Z</dcterms:created>
  <dcterms:modified xsi:type="dcterms:W3CDTF">2021-08-18T02:08:00Z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