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afb"/>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Huawei, vivo, Spreadtrum, Baicells,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Huawei (idle bit), vivo(LSB of MCS), Apple, ZTE</w:t>
      </w:r>
    </w:p>
    <w:p w14:paraId="3CD137A5"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supported: vivo, Baicell,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afb"/>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gNB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afb"/>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b"/>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afb"/>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We see the main potential for this aspect of disabling the HARQ-ACK feedback in the way that the UE does not need to provide UL transmissions when they are not needed. The situation where this arises is when there is a long RTT (like GEO), where the gNB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7"/>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Take the DL transmission for example, we think if a HARQ process is disabled  then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We consider the benefit of HARQ disabling in NR NTN being in avoiding HARQ stalling due to large RTT between the UE and gNB.</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hint="eastAsia"/>
              </w:rPr>
            </w:pPr>
            <w:r>
              <w:rPr>
                <w:rFonts w:eastAsia="맑은 고딕" w:cs="Arial" w:hint="eastAsia"/>
                <w:lang w:val="en-US"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rPr>
                <w:rFonts w:hint="eastAsia"/>
              </w:rPr>
            </w:pPr>
            <w:r>
              <w:rPr>
                <w:rFonts w:eastAsia="맑은 고딕"/>
                <w:lang w:val="en-US" w:eastAsia="ko-KR"/>
              </w:rPr>
              <w:t>Same</w:t>
            </w:r>
            <w:r w:rsidR="00733367">
              <w:rPr>
                <w:rFonts w:eastAsia="맑은 고딕" w:hint="eastAsia"/>
                <w:lang w:val="en-US" w:eastAsia="ko-KR"/>
              </w:rPr>
              <w:t xml:space="preserve"> view as </w:t>
            </w:r>
            <w:r w:rsidR="00733367">
              <w:rPr>
                <w:rFonts w:eastAsia="맑은 고딕"/>
                <w:lang w:val="en-US" w:eastAsia="ko-KR"/>
              </w:rPr>
              <w:t>NTT DOCOMO.</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afb"/>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afb"/>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[Spreadtrum,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afb"/>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6D438DB7"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afb"/>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14:paraId="52605A95" w14:textId="77777777" w:rsidR="00B26E19" w:rsidRDefault="004926F7">
      <w:pPr>
        <w:pStyle w:val="afb"/>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afb"/>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[Baicell]</w:t>
      </w:r>
    </w:p>
    <w:p w14:paraId="27DB8B48"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5121A99B" w14:textId="77777777" w:rsidR="00B26E19" w:rsidRDefault="004926F7">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b"/>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afb"/>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afb"/>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FFS: Necessity on the indication of additional assistance information from gNB</w:t>
      </w:r>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From our point of view it is crucial that the codebook size is deterministic, such that both UE and gNB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Enhancement to reduce CB size is not main direction here. We are not sure why this direction is suggested. Even if this direction is preferable, note that if NACK is reported for PDSCH receptions with disabled feedback as Option 2, decoding performance can be improved at gNB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afb"/>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afb"/>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Xiaomi/Spreadtrum (if supported), CAICT, Baicell, LG Ericsson, ZTE, ITL]</w:t>
      </w:r>
    </w:p>
    <w:p w14:paraId="563D7F2F" w14:textId="77777777" w:rsidR="00B26E19" w:rsidRDefault="004926F7">
      <w:pPr>
        <w:pStyle w:val="afb"/>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afb"/>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afb"/>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Also, other  enhancements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 The C-DAI and T-DAI are the count of feedback-enabled processes, despite they are not incremented [vivo, Baicell, CATT, CMCC, LG, Ericsson, Xiaomi</w:t>
      </w:r>
      <w:r>
        <w:rPr>
          <w:rFonts w:ascii="Times New Roman" w:eastAsiaTheme="minorEastAsia" w:hAnsi="Times New Roman"/>
          <w:color w:val="FF0000"/>
          <w:sz w:val="20"/>
          <w:szCs w:val="20"/>
          <w:lang w:eastAsia="zh-CN"/>
        </w:rPr>
        <w:t>, Huawei, HiSilicon</w:t>
      </w:r>
      <w:r>
        <w:rPr>
          <w:rFonts w:ascii="Times New Roman" w:eastAsiaTheme="minorEastAsia" w:hAnsi="Times New Roman"/>
          <w:sz w:val="20"/>
          <w:szCs w:val="20"/>
          <w:lang w:eastAsia="zh-CN"/>
        </w:rPr>
        <w:t>]</w:t>
      </w:r>
    </w:p>
    <w:p w14:paraId="10073D57"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afb"/>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gNB [Samsung, NEC, ZTE] </w:t>
      </w:r>
    </w:p>
    <w:p w14:paraId="378595E9" w14:textId="77777777" w:rsidR="00B26E19" w:rsidRDefault="004926F7">
      <w:pPr>
        <w:pStyle w:val="afb"/>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afb"/>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A benefit from the proposal is none or, at best, marginal without any impact to system operation. A specification impact and gNB/UE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afb"/>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Option-1: No enhancement [Spreadtrum, Sony, CAICT, DCM, Spreadtrum, Samsung, Sony, CAICT, OPPO, ITL, Nokia]</w:t>
      </w:r>
    </w:p>
    <w:p w14:paraId="59BB529E"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afb"/>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afb"/>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b"/>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b"/>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afb"/>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aff0"/>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afb"/>
        <w:numPr>
          <w:ilvl w:val="2"/>
          <w:numId w:val="19"/>
        </w:numPr>
        <w:jc w:val="both"/>
        <w:rPr>
          <w:rFonts w:ascii="Times New Roman" w:hAnsi="Times New Roman"/>
          <w:sz w:val="20"/>
          <w:szCs w:val="20"/>
        </w:rPr>
      </w:pPr>
      <w:r>
        <w:rPr>
          <w:rFonts w:ascii="Times New Roman" w:hAnsi="Times New Roman"/>
          <w:sz w:val="20"/>
          <w:szCs w:val="20"/>
        </w:rPr>
        <w:t>SPS PDSCH with HARQ FB enabling with lowest configured sps-ConfigIndex should be firstly selected/prioritized when more than one SPS PDSCH configurations are in a slot [ITL]</w:t>
      </w:r>
    </w:p>
    <w:p w14:paraId="0AEBCA85" w14:textId="4984F956"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DCM, NEC] proposed to keep the DCI for SPS release and DCI for SCell dormancy (any other DCIs which are included in counting of C-DAI and T-DAI in Rel-16) are included in counting of C-DAI and T-DAI regardless of feedback-enabling/disabling. And for 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2C4FB67" w14:textId="77777777" w:rsidR="00B26E19" w:rsidRDefault="004926F7">
      <w:pPr>
        <w:pStyle w:val="afb"/>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afb"/>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b"/>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7"/>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b"/>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afb"/>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afb"/>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A DCI format scheduling a PDSCH reception for a HARQ process with disabled HARQ-ACK does not include the PRI, a PUSCH-to-HARQ_feedback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afb"/>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b"/>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3905CC">
      <w:pPr>
        <w:pStyle w:val="afb"/>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3905CC">
      <w:pPr>
        <w:pStyle w:val="afb"/>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3905CC">
      <w:pPr>
        <w:pStyle w:val="afb"/>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afb"/>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Agree for feedback-enabled. Need more discussion on the meaning of OoO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MS Mincho"/>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T_(proc,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733367">
      <w:pPr>
        <w:spacing w:beforeLines="50" w:before="120" w:after="120"/>
        <w:ind w:leftChars="100" w:left="200"/>
        <w:jc w:val="center"/>
        <w:rPr>
          <w:rFonts w:eastAsiaTheme="minorEastAsia"/>
          <w:lang w:eastAsia="zh-CN"/>
        </w:rPr>
      </w:pPr>
      <w:r>
        <w:rPr>
          <w:noProof/>
        </w:rPr>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8pt;height:186.45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afb"/>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afb"/>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14:paraId="70CFE76F" w14:textId="77777777" w:rsidR="00B26E19" w:rsidRDefault="004926F7">
      <w:pPr>
        <w:pStyle w:val="afb"/>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afb"/>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2B1084C" w14:textId="77777777" w:rsidR="00B26E19" w:rsidRDefault="004926F7">
      <w:pPr>
        <w:pStyle w:val="afb"/>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ac"/>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afa"/>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ac"/>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ac"/>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ac"/>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ac"/>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ac"/>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ac"/>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ac"/>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ac"/>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ac"/>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ac"/>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ac"/>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ac"/>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The maximum number of supported aggregation factor (i.e., pdsch-AggregationFactor) for DL PDSCH is [X]</w:t>
      </w:r>
    </w:p>
    <w:p w14:paraId="6D3E9A3A" w14:textId="77777777" w:rsidR="00B26E19" w:rsidRDefault="004926F7">
      <w:pPr>
        <w:pStyle w:val="afb"/>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afb"/>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hint="eastAsia"/>
              </w:rPr>
            </w:pPr>
            <w:r>
              <w:rPr>
                <w:rFonts w:eastAsia="맑은 고딕"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맑은 고딕" w:hint="eastAsia"/>
                <w:lang w:eastAsia="ko-KR"/>
              </w:rPr>
            </w:pPr>
            <w:r>
              <w:rPr>
                <w:rFonts w:eastAsia="맑은 고딕"/>
                <w:lang w:eastAsia="ko-KR"/>
              </w:rPr>
              <w:t>S</w:t>
            </w:r>
            <w:r>
              <w:rPr>
                <w:rFonts w:eastAsia="맑은 고딕" w:hint="eastAsia"/>
                <w:lang w:eastAsia="ko-KR"/>
              </w:rPr>
              <w:t>upport Initial Proposal 4-1</w:t>
            </w:r>
            <w:r>
              <w:rPr>
                <w:rFonts w:eastAsia="맑은 고딕"/>
                <w:lang w:eastAsia="ko-KR"/>
              </w:rPr>
              <w:t xml:space="preserve"> and </w:t>
            </w:r>
            <w:r>
              <w:rPr>
                <w:rFonts w:eastAsia="맑은 고딕"/>
                <w:lang w:eastAsia="ko-KR"/>
              </w:rPr>
              <w:br/>
              <w:t xml:space="preserve">Prefer X=32 and </w:t>
            </w:r>
            <w:r>
              <w:rPr>
                <w:rFonts w:eastAsia="맑은 고딕"/>
                <w:lang w:eastAsia="ko-KR"/>
              </w:rPr>
              <w:br/>
              <w:t xml:space="preserve">Support different configurations </w:t>
            </w:r>
            <w:r>
              <w:rPr>
                <w:lang w:eastAsia="zh-CN"/>
              </w:rPr>
              <w:t>for feedback-disabled or feedback-enabled HARQ process.</w:t>
            </w:r>
            <w:r>
              <w:rPr>
                <w:lang w:eastAsia="zh-CN"/>
              </w:rPr>
              <w:br/>
            </w:r>
            <w:r>
              <w:rPr>
                <w:lang w:eastAsia="zh-CN"/>
              </w:rPr>
              <w:br/>
            </w:r>
            <w:r>
              <w:rPr>
                <w:rFonts w:eastAsia="맑은 고딕"/>
                <w:lang w:eastAsia="ko-KR"/>
              </w:rPr>
              <w:t>Regarding different configura</w:t>
            </w:r>
            <w:bookmarkStart w:id="4" w:name="_GoBack"/>
            <w:bookmarkEnd w:id="4"/>
            <w:r>
              <w:rPr>
                <w:rFonts w:eastAsia="맑은 고딕"/>
                <w:lang w:eastAsia="ko-KR"/>
              </w:rPr>
              <w:t xml:space="preserve">tions, </w:t>
            </w:r>
            <w:r>
              <w:rPr>
                <w:rFonts w:eastAsia="맑은 고딕"/>
                <w:lang w:eastAsia="ko-KR"/>
              </w:rPr>
              <w:br/>
              <w:t xml:space="preserve">  different configurations for </w:t>
            </w:r>
            <w:r>
              <w:rPr>
                <w:lang w:eastAsia="zh-CN"/>
              </w:rPr>
              <w:t xml:space="preserve">feedback-disabled or feedback-enabled HARQ process </w:t>
            </w:r>
            <w:r>
              <w:rPr>
                <w:rFonts w:eastAsia="맑은 고딕"/>
                <w:lang w:eastAsia="ko-KR"/>
              </w:rPr>
              <w:t>might be helpful to achieve the better adaptation on transmission parameter for both cases.  Without the different configuration</w:t>
            </w:r>
            <w:r w:rsidR="001F542F">
              <w:rPr>
                <w:rFonts w:eastAsia="맑은 고딕"/>
                <w:lang w:eastAsia="ko-KR"/>
              </w:rPr>
              <w:t>s</w:t>
            </w:r>
            <w:r>
              <w:rPr>
                <w:rFonts w:eastAsia="맑은 고딕"/>
                <w:lang w:eastAsia="ko-KR"/>
              </w:rPr>
              <w:t>, the aggregation factor might be set excessively to satisfy more challenging target BLER for the HARQ feedback disabled case, then unnecessary transmissions (throughput loss) might occur in the HARQ feedback enabled case.</w:t>
            </w:r>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Enabling/disabling on HARQ feedback for downlink transmission should be at least configurable per HARQ process via UE specific RRC signaling</w:t>
      </w:r>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gNB’s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ac"/>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.[CATT, MTK, CAICT, CMCC, DCM, Nokia, Sony, InterDigital]</w:t>
      </w:r>
    </w:p>
    <w:p w14:paraId="7C984A82" w14:textId="77777777" w:rsidR="00B26E19" w:rsidRDefault="004926F7">
      <w:pPr>
        <w:pStyle w:val="ac"/>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Option 2: Up to gNB’s implementation for scheduling [vivo, Baicell,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gNB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bl>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Proposal 2: The scheduling with a given HARQ process to enable/disable HARQ feedback to send MAC CE is up to gNB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ko-KR"/>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ko-KR"/>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afb"/>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afb"/>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afb"/>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b"/>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t>R1-2106703 Spreadtrum</w:t>
            </w:r>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r>
              <w:t>Baicells</w:t>
            </w:r>
          </w:p>
        </w:tc>
        <w:tc>
          <w:tcPr>
            <w:tcW w:w="8744" w:type="dxa"/>
            <w:vAlign w:val="center"/>
          </w:tcPr>
          <w:p w14:paraId="15DF1B68" w14:textId="77777777" w:rsidR="00B26E19" w:rsidRDefault="004926F7">
            <w:pPr>
              <w:pStyle w:val="afb"/>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afb"/>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afb"/>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b"/>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b"/>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b"/>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3905CC">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b"/>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b"/>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PUSCH-to-HARQ_feedback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08BDA14A" w14:textId="77777777" w:rsidR="00B26E19" w:rsidRDefault="004926F7">
            <w:pPr>
              <w:pStyle w:val="afb"/>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맑은 고딕"/>
                <w:iCs/>
              </w:rPr>
            </w:pPr>
            <w:r>
              <w:rPr>
                <w:rFonts w:eastAsia="맑은 고딕"/>
                <w:bCs/>
                <w:iCs/>
              </w:rPr>
              <w:t>Observation 1</w:t>
            </w:r>
            <w:r>
              <w:rPr>
                <w:rFonts w:eastAsia="맑은 고딕"/>
                <w:iCs/>
              </w:rPr>
              <w:t xml:space="preserve">: HARQ-ACK feedback disabling offers marginal benefits for UE power savings in Rel-17 NTN. </w:t>
            </w:r>
          </w:p>
          <w:p w14:paraId="2BD7EB44" w14:textId="77777777" w:rsidR="00B26E19" w:rsidRDefault="004926F7">
            <w:pPr>
              <w:snapToGrid w:val="0"/>
              <w:spacing w:after="0"/>
              <w:jc w:val="both"/>
              <w:rPr>
                <w:rFonts w:eastAsia="맑은 고딕"/>
                <w:iCs/>
              </w:rPr>
            </w:pPr>
            <w:r>
              <w:rPr>
                <w:rFonts w:eastAsia="맑은 고딕"/>
                <w:bCs/>
                <w:iCs/>
              </w:rPr>
              <w:t>Observation 2</w:t>
            </w:r>
            <w:r>
              <w:rPr>
                <w:rFonts w:eastAsia="맑은 고딕"/>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맑은 고딕"/>
                <w:iCs/>
              </w:rPr>
            </w:pPr>
            <w:r>
              <w:rPr>
                <w:rFonts w:eastAsia="맑은 고딕"/>
                <w:bCs/>
                <w:iCs/>
              </w:rPr>
              <w:t>Observation 3</w:t>
            </w:r>
            <w:r>
              <w:rPr>
                <w:rFonts w:eastAsia="맑은 고딕"/>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맑은 고딕"/>
                <w:iCs/>
              </w:rPr>
            </w:pPr>
            <w:r>
              <w:rPr>
                <w:rFonts w:eastAsia="맑은 고딕"/>
                <w:bCs/>
                <w:iCs/>
              </w:rPr>
              <w:t>Observation 4</w:t>
            </w:r>
            <w:r>
              <w:rPr>
                <w:rFonts w:eastAsia="맑은 고딕"/>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맑은 고딕"/>
                <w:iCs/>
              </w:rPr>
            </w:pPr>
            <w:r>
              <w:rPr>
                <w:rFonts w:eastAsia="맑은 고딕"/>
                <w:bCs/>
                <w:iCs/>
              </w:rPr>
              <w:t>Observation 5</w:t>
            </w:r>
            <w:r>
              <w:rPr>
                <w:rFonts w:eastAsia="맑은 고딕"/>
                <w:iCs/>
              </w:rPr>
              <w:t>: There is no need to change Rel-16 operation for HARQ-ACK report in response to SPS PDSCH release.</w:t>
            </w:r>
          </w:p>
          <w:p w14:paraId="33B7DCD4" w14:textId="77777777" w:rsidR="00B26E19" w:rsidRDefault="004926F7">
            <w:pPr>
              <w:snapToGrid w:val="0"/>
              <w:spacing w:after="0"/>
              <w:jc w:val="both"/>
            </w:pPr>
            <w:r>
              <w:rPr>
                <w:rFonts w:eastAsia="맑은 고딕"/>
                <w:bCs/>
                <w:iCs/>
              </w:rPr>
              <w:t>Observation 6</w:t>
            </w:r>
            <w:r>
              <w:rPr>
                <w:rFonts w:eastAsia="맑은 고딕"/>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 xml:space="preserve">Observation 1:Additional HARQ bit can be taken from second block DCI field if only one layer tansmission supported in NTN.  </w:t>
            </w:r>
          </w:p>
          <w:p w14:paraId="5119B350"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afb"/>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afb"/>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afb"/>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r>
              <w:rPr>
                <w:iCs/>
                <w:lang w:eastAsia="zh-CN"/>
              </w:rPr>
              <w:t>gNB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Dynamic indication to inform the UE if HARQ-feedback is expected or not for M</w:t>
            </w:r>
            <w:r>
              <w:rPr>
                <w:iCs/>
                <w:vertAlign w:val="subscript"/>
                <w:lang w:eastAsia="zh-CN"/>
              </w:rPr>
              <w:t>A,c</w:t>
            </w:r>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Codebook size reduction can be achieved if only HARQ disabled processes and SPS PDSCHs are scheduled in M</w:t>
            </w:r>
            <w:r>
              <w:rPr>
                <w:iCs/>
                <w:vertAlign w:val="subscript"/>
                <w:lang w:eastAsia="zh-CN"/>
              </w:rPr>
              <w:t>A,c</w:t>
            </w:r>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signalling is used to indicate that only HARQ disabled processes are scheduled in </w:t>
            </w:r>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no SPS PDSCH(s) configured within MA,c occasion, UE omits HARQ feedback.</w:t>
            </w:r>
          </w:p>
          <w:p w14:paraId="04A89F90" w14:textId="77777777" w:rsidR="00B26E19" w:rsidRDefault="004926F7">
            <w:pPr>
              <w:pStyle w:val="afb"/>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SPS PDSCH(s) configured within MA,c occasion, UE omits HARQ feedback for non SPS PDSCH occasions.</w:t>
            </w:r>
          </w:p>
          <w:p w14:paraId="53FE1BCC" w14:textId="77777777" w:rsidR="00B26E19" w:rsidRDefault="004926F7">
            <w:pPr>
              <w:pStyle w:val="afb"/>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afb"/>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afb"/>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gNB implementation. </w:t>
            </w:r>
          </w:p>
          <w:p w14:paraId="01719DC7" w14:textId="77777777"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402502C9"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c"/>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c"/>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c"/>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c"/>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ac"/>
              <w:snapToGrid w:val="0"/>
              <w:spacing w:after="0"/>
              <w:rPr>
                <w:rFonts w:ascii="Times New Roman" w:eastAsia="DengXian" w:hAnsi="Times New Roman"/>
                <w:szCs w:val="20"/>
                <w:lang w:eastAsia="zh-CN"/>
              </w:rPr>
            </w:pPr>
            <w:r>
              <w:rPr>
                <w:rFonts w:ascii="Times New Roman" w:hAnsi="Times New Roman"/>
                <w:szCs w:val="20"/>
              </w:rPr>
              <w:t xml:space="preserve">Proposal 3: For Type-2 HARQ codebook, DCI for SPS release and DCI for indicating SCell dormancy should be included in counting of C-DAI and T-DAI. </w:t>
            </w:r>
          </w:p>
          <w:p w14:paraId="387C96B3"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c"/>
              <w:numPr>
                <w:ilvl w:val="0"/>
                <w:numId w:val="42"/>
              </w:numPr>
              <w:overflowPunct/>
              <w:autoSpaceDE/>
              <w:autoSpaceDN/>
              <w:snapToGrid w:val="0"/>
              <w:spacing w:after="0"/>
              <w:textAlignment w:val="auto"/>
              <w:rPr>
                <w:rFonts w:ascii="Times New Roman" w:eastAsia="DengXian" w:hAnsi="Times New Roman"/>
                <w:szCs w:val="20"/>
                <w:lang w:eastAsia="zh-CN"/>
              </w:rPr>
            </w:pPr>
            <w:r>
              <w:rPr>
                <w:rFonts w:ascii="Times New Roman" w:eastAsia="DengXian" w:hAnsi="Times New Roman"/>
                <w:szCs w:val="20"/>
                <w:lang w:eastAsia="zh-CN"/>
              </w:rPr>
              <w:t>Configure different aggregation factors for PDSCH reception with or without HARQ-ACK feedback.</w:t>
            </w:r>
          </w:p>
          <w:p w14:paraId="51D56327"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ac"/>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DengXian"/>
                <w:lang w:eastAsia="zh-CN"/>
              </w:rPr>
              <w:t>T</w:t>
            </w:r>
            <w:r>
              <w:t>he size of the PDSCH-to-HARQ_feedback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맑은 고딕"/>
                <w:lang w:val="en-US"/>
              </w:rPr>
              <w:fldChar w:fldCharType="begin"/>
            </w:r>
            <w:r>
              <w:instrText xml:space="preserve"> TOC \n \h \z \t "Observation,1" </w:instrText>
            </w:r>
            <w:r>
              <w:rPr>
                <w:rFonts w:eastAsia="맑은 고딕"/>
                <w:lang w:val="en-US"/>
              </w:rPr>
              <w:fldChar w:fldCharType="separate"/>
            </w:r>
            <w:hyperlink w:anchor="_Toc79066285" w:history="1">
              <w:r>
                <w:rPr>
                  <w:rStyle w:val="af7"/>
                  <w:lang w:eastAsia="zh-TW"/>
                </w:rPr>
                <w:t>Observation 1</w:t>
              </w:r>
              <w:r>
                <w:rPr>
                  <w:rFonts w:eastAsiaTheme="minorEastAsia"/>
                  <w:lang w:eastAsia="zh-TW"/>
                </w:rPr>
                <w:tab/>
              </w:r>
              <w:r>
                <w:rPr>
                  <w:rStyle w:val="af7"/>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10"/>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7"/>
                  <w:sz w:val="20"/>
                  <w:lang w:eastAsia="zh-TW"/>
                </w:rPr>
                <w:t>Proposal 1</w:t>
              </w:r>
              <w:r>
                <w:rPr>
                  <w:rFonts w:eastAsiaTheme="minorEastAsia"/>
                  <w:sz w:val="20"/>
                  <w:lang w:eastAsia="zh-TW"/>
                </w:rPr>
                <w:tab/>
              </w:r>
              <w:r>
                <w:rPr>
                  <w:rStyle w:val="af7"/>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3905CC">
            <w:pPr>
              <w:snapToGrid w:val="0"/>
              <w:spacing w:after="0"/>
              <w:rPr>
                <w:rStyle w:val="af7"/>
              </w:rPr>
            </w:pPr>
            <w:hyperlink w:anchor="_Toc79066279" w:history="1">
              <w:r w:rsidR="004926F7">
                <w:rPr>
                  <w:rStyle w:val="af7"/>
                  <w:lang w:eastAsia="zh-TW"/>
                </w:rPr>
                <w:t>Proposal 2</w:t>
              </w:r>
              <w:r w:rsidR="004926F7">
                <w:rPr>
                  <w:rStyle w:val="af7"/>
                </w:rPr>
                <w:tab/>
              </w:r>
              <w:r w:rsidR="004926F7">
                <w:rPr>
                  <w:rStyle w:val="af7"/>
                  <w:lang w:eastAsia="zh-TW"/>
                </w:rPr>
                <w:t>UE expects an SPS PDSCH release is transmitted using HARQ processes with feedback enabled.</w:t>
              </w:r>
            </w:hyperlink>
          </w:p>
          <w:p w14:paraId="71AF7C4E" w14:textId="77777777" w:rsidR="00B26E19" w:rsidRDefault="003905CC">
            <w:pPr>
              <w:snapToGrid w:val="0"/>
              <w:spacing w:after="0"/>
              <w:rPr>
                <w:rStyle w:val="af7"/>
              </w:rPr>
            </w:pPr>
            <w:hyperlink w:anchor="_Toc79066280" w:history="1">
              <w:r w:rsidR="004926F7">
                <w:rPr>
                  <w:rStyle w:val="af7"/>
                  <w:lang w:eastAsia="zh-TW"/>
                </w:rPr>
                <w:t>Proposal 3</w:t>
              </w:r>
              <w:r w:rsidR="004926F7">
                <w:rPr>
                  <w:rStyle w:val="af7"/>
                </w:rPr>
                <w:tab/>
              </w:r>
              <w:r w:rsidR="004926F7">
                <w:rPr>
                  <w:rStyle w:val="af7"/>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3905CC">
            <w:pPr>
              <w:snapToGrid w:val="0"/>
              <w:spacing w:after="0"/>
              <w:rPr>
                <w:rStyle w:val="af7"/>
              </w:rPr>
            </w:pPr>
            <w:hyperlink w:anchor="_Toc79066281" w:history="1">
              <w:r w:rsidR="004926F7">
                <w:rPr>
                  <w:rStyle w:val="af7"/>
                  <w:lang w:eastAsia="zh-TW"/>
                </w:rPr>
                <w:t>Proposal 4</w:t>
              </w:r>
              <w:r w:rsidR="004926F7">
                <w:rPr>
                  <w:rStyle w:val="af7"/>
                </w:rPr>
                <w:tab/>
              </w:r>
              <w:r w:rsidR="004926F7">
                <w:rPr>
                  <w:rStyle w:val="af7"/>
                  <w:lang w:eastAsia="zh-TW"/>
                </w:rPr>
                <w:t>Deprioritize Type-3 HARQ CB enhancement for NTN in Rel-17, considering there might be no use case when Type-1 and Type-2 HARQ CBs can be supported in NTN.</w:t>
              </w:r>
            </w:hyperlink>
          </w:p>
          <w:p w14:paraId="70FB5DFC" w14:textId="77777777" w:rsidR="00B26E19" w:rsidRDefault="003905CC">
            <w:pPr>
              <w:snapToGrid w:val="0"/>
              <w:spacing w:after="0"/>
              <w:rPr>
                <w:rStyle w:val="af7"/>
              </w:rPr>
            </w:pPr>
            <w:hyperlink w:anchor="_Toc79066282" w:history="1">
              <w:r w:rsidR="004926F7">
                <w:rPr>
                  <w:rStyle w:val="af7"/>
                  <w:lang w:eastAsia="zh-TW"/>
                </w:rPr>
                <w:t>Proposal 5</w:t>
              </w:r>
              <w:r w:rsidR="004926F7">
                <w:rPr>
                  <w:rStyle w:val="af7"/>
                </w:rPr>
                <w:tab/>
              </w:r>
              <w:r w:rsidR="004926F7">
                <w:rPr>
                  <w:rStyle w:val="af7"/>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3905CC">
            <w:pPr>
              <w:snapToGrid w:val="0"/>
              <w:spacing w:after="0"/>
              <w:rPr>
                <w:rStyle w:val="af7"/>
              </w:rPr>
            </w:pPr>
            <w:hyperlink w:anchor="_Toc79066283" w:history="1">
              <w:r w:rsidR="004926F7">
                <w:rPr>
                  <w:rStyle w:val="af7"/>
                  <w:lang w:eastAsia="zh-TW"/>
                </w:rPr>
                <w:t>Proposal 6</w:t>
              </w:r>
              <w:r w:rsidR="004926F7">
                <w:rPr>
                  <w:rStyle w:val="af7"/>
                </w:rPr>
                <w:tab/>
              </w:r>
              <w:r w:rsidR="004926F7">
                <w:rPr>
                  <w:rStyle w:val="af7"/>
                  <w:lang w:eastAsia="zh-TW"/>
                </w:rPr>
                <w:t>For Fallback DCI format (0-0, 1-0), no extension is needed, regarding no need to support more than 16 HARQ processes for initial access.</w:t>
              </w:r>
            </w:hyperlink>
          </w:p>
          <w:p w14:paraId="2D0827BF" w14:textId="77777777" w:rsidR="00B26E19" w:rsidRDefault="003905CC">
            <w:pPr>
              <w:snapToGrid w:val="0"/>
              <w:spacing w:after="0"/>
            </w:pPr>
            <w:hyperlink w:anchor="_Toc79066284" w:history="1">
              <w:r w:rsidR="004926F7">
                <w:rPr>
                  <w:rStyle w:val="af7"/>
                  <w:lang w:eastAsia="zh-TW"/>
                </w:rPr>
                <w:t>Proposal 7</w:t>
              </w:r>
              <w:r w:rsidR="004926F7">
                <w:rPr>
                  <w:rStyle w:val="af7"/>
                </w:rPr>
                <w:tab/>
              </w:r>
              <w:r w:rsidR="004926F7">
                <w:rPr>
                  <w:rStyle w:val="af7"/>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r>
              <w:t>Qaulcomm</w:t>
            </w:r>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afb"/>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b"/>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b"/>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b"/>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b"/>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b"/>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b"/>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b"/>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afb"/>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b"/>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14:paraId="04E7EB04"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14:paraId="34F3D5BC"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b"/>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Observation 6 :</w:t>
            </w:r>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b"/>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b"/>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b"/>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Observation 9 :</w:t>
            </w:r>
            <w:r>
              <w:t>larger aggregation factor might be inevitable for NTN.</w:t>
            </w:r>
          </w:p>
          <w:p w14:paraId="4F2F0500" w14:textId="77777777" w:rsidR="00B26E19" w:rsidRDefault="004926F7">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b"/>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Observation 13 :</w:t>
            </w:r>
            <w:r>
              <w:t xml:space="preserve"> In NR, various kinds of transport channels are multiplexed into PDSCH/PUSCH.</w:t>
            </w:r>
          </w:p>
          <w:p w14:paraId="3B584BE6" w14:textId="77777777" w:rsidR="00B26E19" w:rsidRDefault="004926F7">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15 : The value of aggregation factor should be determined properly if slot aggregation is used. </w:t>
            </w:r>
          </w:p>
          <w:p w14:paraId="1116409A"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04A8F574"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Observation 17 : NR gNB cannot optimally react to some cases, if the slot aggregation is used.</w:t>
            </w:r>
          </w:p>
          <w:p w14:paraId="4E766A66"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Observation 19 : If all the HARQ feedback are disabled, gNB cannot optimally react to all cases</w:t>
            </w:r>
          </w:p>
          <w:p w14:paraId="1FDC1A00"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Observation 21 : UL feedback via MAC-CE/RRC might be preferred rather than UL feedback via UCI.</w:t>
            </w:r>
          </w:p>
          <w:p w14:paraId="04F3B493"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0D88F1CC" w14:textId="77777777" w:rsidR="00B26E19" w:rsidRDefault="004926F7">
            <w:pPr>
              <w:pStyle w:val="afb"/>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59B0C82B" w14:textId="77777777" w:rsidR="00B26E19" w:rsidRDefault="004926F7">
            <w:pPr>
              <w:pStyle w:val="afb"/>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b"/>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b"/>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b"/>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b"/>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Proposal 2 : Consider the enhancement via “different aggregation factors” as the one of the NTN’s transmission enhancement solutions.</w:t>
            </w:r>
          </w:p>
          <w:p w14:paraId="29BA2DB9" w14:textId="77777777" w:rsidR="00B26E19" w:rsidRDefault="004926F7">
            <w:pPr>
              <w:pStyle w:val="afb"/>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b"/>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14:paraId="63FD4324"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b"/>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b"/>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b"/>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afb"/>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b"/>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2"/>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7"/>
                  <w:rFonts w:ascii="Times New Roman" w:hAnsi="Times New Roman" w:cs="Times New Roman"/>
                  <w:b w:val="0"/>
                  <w:sz w:val="20"/>
                  <w:szCs w:val="20"/>
                </w:rPr>
                <w:t>Observation 1</w:t>
              </w:r>
              <w:r>
                <w:rPr>
                  <w:rFonts w:ascii="Times New Roman" w:hAnsi="Times New Roman" w:cs="Times New Roman"/>
                  <w:b w:val="0"/>
                  <w:sz w:val="20"/>
                  <w:szCs w:val="20"/>
                </w:rPr>
                <w:tab/>
              </w:r>
              <w:r>
                <w:rPr>
                  <w:rStyle w:val="af7"/>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7"/>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7"/>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7"/>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7"/>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7"/>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7"/>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7"/>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7"/>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7"/>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c"/>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af2"/>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7"/>
                  <w:rFonts w:ascii="Times New Roman" w:hAnsi="Times New Roman" w:cs="Times New Roman"/>
                  <w:b w:val="0"/>
                  <w:sz w:val="20"/>
                  <w:szCs w:val="20"/>
                </w:rPr>
                <w:t>Proposal 1</w:t>
              </w:r>
              <w:r>
                <w:rPr>
                  <w:rFonts w:ascii="Times New Roman" w:hAnsi="Times New Roman" w:cs="Times New Roman"/>
                  <w:b w:val="0"/>
                  <w:sz w:val="20"/>
                  <w:szCs w:val="20"/>
                </w:rPr>
                <w:tab/>
              </w:r>
              <w:r>
                <w:rPr>
                  <w:rStyle w:val="af7"/>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7"/>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7"/>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7"/>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Do not support 32 HARQ processes with fallback DCI.</w:t>
              </w:r>
            </w:hyperlink>
          </w:p>
          <w:p w14:paraId="13595E74"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7"/>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7"/>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7"/>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7"/>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7"/>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7"/>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3905CC">
            <w:pPr>
              <w:pStyle w:val="af2"/>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7"/>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3905CC">
            <w:pPr>
              <w:pStyle w:val="af2"/>
              <w:tabs>
                <w:tab w:val="right" w:leader="dot" w:pos="9629"/>
              </w:tabs>
              <w:adjustRightInd w:val="0"/>
              <w:snapToGrid w:val="0"/>
              <w:spacing w:after="0"/>
              <w:rPr>
                <w:rFonts w:ascii="Times New Roman" w:eastAsia="맑은 고딕" w:hAnsi="Times New Roman" w:cs="Times New Roman"/>
                <w:b w:val="0"/>
                <w:sz w:val="20"/>
                <w:szCs w:val="20"/>
                <w:lang w:eastAsia="ko-KR"/>
              </w:rPr>
            </w:pPr>
            <w:hyperlink w:anchor="_Toc79154038" w:history="1">
              <w:r w:rsidR="004926F7">
                <w:rPr>
                  <w:rStyle w:val="af7"/>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7"/>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2 HARQ-ACK CB, DCI for SPS release and DCI for SCell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SCell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including successRAR: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0"/>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바탕" w:hAnsi="Times New Roman" w:cs="Times New Roman"/>
                <w:bCs/>
                <w:iCs/>
                <w:lang w:eastAsia="ko-KR"/>
              </w:rPr>
              <w:t>that is in response to a detection of the DCI format 1_2 that does not include a DAI field.</w:t>
            </w:r>
          </w:p>
          <w:p w14:paraId="167F678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Default="004926F7">
            <w:pPr>
              <w:pStyle w:val="aff0"/>
              <w:adjustRightInd w:val="0"/>
              <w:snapToGrid w:val="0"/>
              <w:spacing w:before="0" w:after="0"/>
              <w:rPr>
                <w:rFonts w:ascii="Times New Roman" w:hAnsi="Times New Roman" w:cs="Times New Roman"/>
                <w:lang w:val="zh-CN"/>
              </w:rPr>
            </w:pPr>
            <w:r>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r>
              <w:t>InterDigital</w:t>
            </w:r>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Observation 3: gNB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61A5" w14:textId="77777777" w:rsidR="003905CC" w:rsidRDefault="003905CC">
      <w:pPr>
        <w:spacing w:after="0" w:line="240" w:lineRule="auto"/>
      </w:pPr>
      <w:r>
        <w:separator/>
      </w:r>
    </w:p>
  </w:endnote>
  <w:endnote w:type="continuationSeparator" w:id="0">
    <w:p w14:paraId="088BB9A1" w14:textId="77777777" w:rsidR="003905CC" w:rsidRDefault="0039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나눔바른고딕">
    <w:altName w:val="Malgun Gothic"/>
    <w:panose1 w:val="020B0603020101020101"/>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4CCA" w14:textId="77777777" w:rsidR="004926F7" w:rsidRDefault="004926F7">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4FCCE987" w14:textId="77777777" w:rsidR="004926F7" w:rsidRDefault="004926F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21EE" w14:textId="77777777" w:rsidR="004926F7" w:rsidRDefault="004926F7">
    <w:pPr>
      <w:pStyle w:val="ae"/>
      <w:ind w:right="360"/>
    </w:pPr>
    <w:r>
      <w:rPr>
        <w:rStyle w:val="af4"/>
      </w:rPr>
      <w:fldChar w:fldCharType="begin"/>
    </w:r>
    <w:r>
      <w:rPr>
        <w:rStyle w:val="af4"/>
      </w:rPr>
      <w:instrText xml:space="preserve"> PAGE </w:instrText>
    </w:r>
    <w:r>
      <w:rPr>
        <w:rStyle w:val="af4"/>
      </w:rPr>
      <w:fldChar w:fldCharType="separate"/>
    </w:r>
    <w:r w:rsidR="00B8770C">
      <w:rPr>
        <w:rStyle w:val="af4"/>
        <w:noProof/>
      </w:rPr>
      <w:t>21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8770C">
      <w:rPr>
        <w:rStyle w:val="af4"/>
        <w:noProof/>
      </w:rPr>
      <w:t>34</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653C9" w14:textId="77777777" w:rsidR="003905CC" w:rsidRDefault="003905CC">
      <w:pPr>
        <w:spacing w:after="0" w:line="240" w:lineRule="auto"/>
      </w:pPr>
      <w:r>
        <w:separator/>
      </w:r>
    </w:p>
  </w:footnote>
  <w:footnote w:type="continuationSeparator" w:id="0">
    <w:p w14:paraId="2E1119EF" w14:textId="77777777" w:rsidR="003905CC" w:rsidRDefault="0039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939E" w14:textId="77777777" w:rsidR="004926F7" w:rsidRDefault="004926F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바탕"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맑은 고딕" w:eastAsia="맑은 고딕" w:hAnsi="맑은 고딕"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맑은 고딕" w:eastAsia="맑은 고딕" w:hAnsi="맑은 고딕"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바탕"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c"/>
    <w:next w:val="a1"/>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4">
    <w:name w:val="page number"/>
    <w:basedOn w:val="a2"/>
    <w:qFormat/>
  </w:style>
  <w:style w:type="character" w:styleId="af5">
    <w:name w:val="FollowedHyperlink"/>
    <w:qFormat/>
    <w:rPr>
      <w:color w:val="800080"/>
      <w:u w:val="single"/>
    </w:rPr>
  </w:style>
  <w:style w:type="character" w:styleId="af6">
    <w:name w:val="Emphasis"/>
    <w:basedOn w:val="a2"/>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qFormat/>
    <w:rPr>
      <w:b/>
      <w:position w:val="6"/>
      <w:sz w:val="16"/>
    </w:rPr>
  </w:style>
  <w:style w:type="table" w:styleId="afa">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Char">
    <w:name w:val="메모 텍스트 Char"/>
    <w:link w:val="a7"/>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바닥글 Char"/>
    <w:link w:val="ae"/>
    <w:uiPriority w:val="99"/>
    <w:qFormat/>
    <w:rPr>
      <w:rFonts w:ascii="Arial" w:hAnsi="Arial"/>
      <w:b/>
      <w:i/>
      <w:sz w:val="18"/>
    </w:rPr>
  </w:style>
  <w:style w:type="paragraph" w:customStyle="1" w:styleId="afd">
    <w:name w:val="样式 页眉"/>
    <w:basedOn w:val="af"/>
    <w:link w:val="Char7"/>
    <w:qFormat/>
    <w:rPr>
      <w:rFonts w:eastAsia="Arial"/>
      <w:bCs/>
      <w:sz w:val="22"/>
      <w:lang w:val="en-GB"/>
    </w:rPr>
  </w:style>
  <w:style w:type="character" w:customStyle="1" w:styleId="Char7">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캡션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Char1">
    <w:name w:val="본문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목록 단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e"/>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e">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Char5">
    <w:name w:val="각주 텍스트 Char"/>
    <w:link w:val="af1"/>
    <w:qFormat/>
    <w:rPr>
      <w:rFonts w:eastAsia="SimSun"/>
      <w:sz w:val="16"/>
      <w:lang w:val="en-GB" w:eastAsia="en-US"/>
    </w:rPr>
  </w:style>
  <w:style w:type="paragraph" w:customStyle="1" w:styleId="TdocHeader2">
    <w:name w:val="Tdoc_Header_2"/>
    <w:basedOn w:val="a1"/>
    <w:qFormat/>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character" w:customStyle="1" w:styleId="B2Char">
    <w:name w:val="B2 Char"/>
    <w:basedOn w:val="a2"/>
    <w:link w:val="B2"/>
    <w:qFormat/>
    <w:locked/>
    <w:rPr>
      <w:rFonts w:eastAsia="SimSun"/>
      <w:lang w:val="en-GB" w:eastAsia="en-US"/>
    </w:rPr>
  </w:style>
  <w:style w:type="paragraph" w:customStyle="1" w:styleId="26">
    <w:name w:val="正文2"/>
    <w:qFormat/>
    <w:pPr>
      <w:spacing w:before="100" w:beforeAutospacing="1" w:after="180"/>
    </w:pPr>
    <w:rPr>
      <w:rFonts w:eastAsia="SimSun"/>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aff0">
    <w:name w:val="No Spacing"/>
    <w:basedOn w:val="a1"/>
    <w:link w:val="Char8"/>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Char8">
    <w:name w:val="간격 없음 Char"/>
    <w:basedOn w:val="a2"/>
    <w:link w:val="aff0"/>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057B6A73-DD8C-49BE-8432-BC2B7834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Pages>
  <Words>14795</Words>
  <Characters>84332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ETRI</cp:lastModifiedBy>
  <cp:revision>8</cp:revision>
  <cp:lastPrinted>2011-11-09T07:49:00Z</cp:lastPrinted>
  <dcterms:created xsi:type="dcterms:W3CDTF">2021-08-17T23:28:00Z</dcterms:created>
  <dcterms:modified xsi:type="dcterms:W3CDTF">2021-08-18T00:07:00Z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