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w:t>
            </w:r>
            <w:proofErr w:type="gramStart"/>
            <w:r>
              <w:rPr>
                <w:kern w:val="2"/>
                <w:lang w:eastAsia="zh-CN"/>
              </w:rPr>
              <w:t>to clarify</w:t>
            </w:r>
            <w:proofErr w:type="gramEnd"/>
            <w:r>
              <w:rPr>
                <w:kern w:val="2"/>
                <w:lang w:eastAsia="zh-CN"/>
              </w:rPr>
              <w:t xml:space="preserve">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proofErr w:type="spellStart"/>
            <w:r w:rsidRPr="00ED0ECD">
              <w:rPr>
                <w:rFonts w:eastAsia="MS Mincho"/>
                <w:i/>
                <w:kern w:val="2"/>
                <w:lang w:eastAsia="ja-JP"/>
              </w:rPr>
              <w:t>maxCodeRat</w:t>
            </w:r>
            <w:r>
              <w:rPr>
                <w:rFonts w:eastAsia="MS Mincho"/>
                <w:i/>
                <w:kern w:val="2"/>
                <w:lang w:eastAsia="ja-JP"/>
              </w:rPr>
              <w:t>e</w:t>
            </w:r>
            <w:proofErr w:type="spellEnd"/>
            <w:r w:rsidRPr="00D56D8E">
              <w:rPr>
                <w:rFonts w:eastAsia="MS Mincho"/>
                <w:iCs/>
                <w:kern w:val="2"/>
                <w:lang w:eastAsia="ja-JP"/>
              </w:rPr>
              <w:t>”</w:t>
            </w:r>
            <w:r>
              <w:rPr>
                <w:rFonts w:eastAsia="MS Mincho"/>
                <w:iCs/>
                <w:kern w:val="2"/>
                <w:lang w:eastAsia="ja-JP"/>
              </w:rPr>
              <w:t xml:space="preserve"> ,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Heading3"/>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ListParagraph"/>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ListParagraph"/>
        <w:numPr>
          <w:ilvl w:val="0"/>
          <w:numId w:val="45"/>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6091647E" w14:textId="46887E33" w:rsidR="00D81D8D" w:rsidRDefault="00D81D8D" w:rsidP="00D81D8D">
      <w:pPr>
        <w:pStyle w:val="ListParagraph"/>
        <w:numPr>
          <w:ilvl w:val="0"/>
          <w:numId w:val="32"/>
        </w:numPr>
      </w:pPr>
      <w:r w:rsidRPr="00F676FA">
        <w:rPr>
          <w:rFonts w:eastAsia="MS Mincho"/>
          <w:i/>
          <w:color w:val="FF0000"/>
          <w:kern w:val="2"/>
          <w:lang w:eastAsia="ja-JP"/>
        </w:rPr>
        <w:t>maxCodeRateLP-r17</w:t>
      </w:r>
      <w:r>
        <w:t xml:space="preserve"> is added in </w:t>
      </w:r>
      <w:r w:rsidRPr="00B97131">
        <w:t>PUCCH-</w:t>
      </w:r>
      <w:proofErr w:type="spellStart"/>
      <w:r w:rsidRPr="00B97131">
        <w:t>FormatConfig</w:t>
      </w:r>
      <w:proofErr w:type="spellEnd"/>
      <w:r>
        <w:t xml:space="preserve"> with the same value range as </w:t>
      </w:r>
      <w:proofErr w:type="spellStart"/>
      <w:r w:rsidRPr="00ED0ECD">
        <w:rPr>
          <w:rFonts w:eastAsia="MS Mincho"/>
          <w:i/>
          <w:kern w:val="2"/>
          <w:lang w:eastAsia="ja-JP"/>
        </w:rPr>
        <w:t>maxCodeRate</w:t>
      </w:r>
      <w:proofErr w:type="spellEnd"/>
      <w:r>
        <w:t>. And t</w:t>
      </w:r>
      <w:r w:rsidRPr="00B97131">
        <w:t>he field is absent for the 1st entry of PUCCH-ConfigurationList-r16.</w:t>
      </w:r>
    </w:p>
    <w:p w14:paraId="325179E0" w14:textId="2556AF38" w:rsidR="00D81D8D" w:rsidRPr="00D81D8D" w:rsidRDefault="00D81D8D" w:rsidP="00D81D8D">
      <w:pPr>
        <w:pStyle w:val="ListParagraph"/>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 used for HARQ-ACK multiplexing.</w:t>
      </w:r>
    </w:p>
    <w:p w14:paraId="7D5E3C6C" w14:textId="0A71297E" w:rsidR="00D81D8D" w:rsidRPr="00D81D8D" w:rsidRDefault="00D81D8D" w:rsidP="00D81D8D">
      <w:pPr>
        <w:pStyle w:val="ListParagraph"/>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w:t>
      </w:r>
      <w:proofErr w:type="spellStart"/>
      <w:r w:rsidRPr="00D81D8D">
        <w:rPr>
          <w:rFonts w:eastAsia="MS Mincho"/>
          <w:i/>
          <w:kern w:val="2"/>
          <w:lang w:eastAsia="ja-JP"/>
        </w:rPr>
        <w:t>maxCodeRate</w:t>
      </w:r>
      <w:proofErr w:type="spellEnd"/>
      <w:r w:rsidRPr="00D81D8D">
        <w:rPr>
          <w:rFonts w:eastAsia="MS Mincho"/>
          <w:kern w:val="2"/>
          <w:lang w:eastAsia="ja-JP"/>
        </w:rPr>
        <w:t>.</w:t>
      </w:r>
    </w:p>
    <w:p w14:paraId="01278B1C" w14:textId="77777777" w:rsidR="00D81D8D" w:rsidRPr="00D75E44" w:rsidRDefault="00D81D8D" w:rsidP="00D81D8D">
      <w:pPr>
        <w:rPr>
          <w:lang w:val="en-US"/>
        </w:rPr>
      </w:pPr>
    </w:p>
    <w:tbl>
      <w:tblPr>
        <w:tblStyle w:val="TableGrid"/>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365E8222" w:rsidR="003E0DBF" w:rsidRPr="00EE397D" w:rsidRDefault="00AE5AED" w:rsidP="00C74612">
            <w:pPr>
              <w:spacing w:beforeLines="50" w:before="120"/>
              <w:rPr>
                <w:rFonts w:eastAsia="Malgun Gothic"/>
                <w:iCs/>
                <w:kern w:val="2"/>
                <w:lang w:eastAsia="ko-KR"/>
              </w:rPr>
            </w:pPr>
            <w:r>
              <w:rPr>
                <w:rFonts w:eastAsia="Malgun Gothic"/>
                <w:iCs/>
                <w:kern w:val="2"/>
                <w:lang w:eastAsia="ko-KR"/>
              </w:rPr>
              <w:t>Sony</w:t>
            </w:r>
          </w:p>
        </w:tc>
        <w:tc>
          <w:tcPr>
            <w:tcW w:w="8105" w:type="dxa"/>
            <w:tcBorders>
              <w:top w:val="single" w:sz="4" w:space="0" w:color="auto"/>
              <w:left w:val="single" w:sz="4" w:space="0" w:color="auto"/>
              <w:bottom w:val="single" w:sz="4" w:space="0" w:color="auto"/>
              <w:right w:val="single" w:sz="4" w:space="0" w:color="auto"/>
            </w:tcBorders>
          </w:tcPr>
          <w:p w14:paraId="3E8DA2A1" w14:textId="5E528A1B" w:rsidR="003E0DBF" w:rsidRPr="00EE397D" w:rsidRDefault="00AE5AED" w:rsidP="00C74612">
            <w:pPr>
              <w:spacing w:beforeLines="50" w:before="120"/>
              <w:rPr>
                <w:rFonts w:eastAsia="Malgun Gothic"/>
                <w:iCs/>
                <w:kern w:val="2"/>
                <w:lang w:eastAsia="ko-KR"/>
              </w:rPr>
            </w:pPr>
            <w:r>
              <w:rPr>
                <w:rFonts w:eastAsia="Malgun Gothic"/>
                <w:iCs/>
                <w:kern w:val="2"/>
                <w:lang w:eastAsia="ko-KR"/>
              </w:rPr>
              <w:t>Fine with v003 for these parameters.</w:t>
            </w: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53E48E7" w:rsidR="003E0DBF" w:rsidRDefault="003668C7"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642D5E9" w14:textId="51312BC3" w:rsidR="003E0DBF" w:rsidRPr="00EE397D" w:rsidRDefault="003668C7" w:rsidP="003668C7">
            <w:pPr>
              <w:widowControl w:val="0"/>
              <w:spacing w:beforeLines="50" w:before="120"/>
              <w:rPr>
                <w:kern w:val="2"/>
                <w:lang w:eastAsia="zh-CN"/>
              </w:rPr>
            </w:pPr>
            <w:r>
              <w:rPr>
                <w:kern w:val="2"/>
                <w:lang w:eastAsia="zh-CN"/>
              </w:rPr>
              <w:t>We</w:t>
            </w:r>
            <w:r w:rsidR="008D436E">
              <w:rPr>
                <w:kern w:val="2"/>
                <w:lang w:eastAsia="zh-CN"/>
              </w:rPr>
              <w:t xml:space="preserve"> are fine with v003</w:t>
            </w:r>
            <w:r>
              <w:rPr>
                <w:kern w:val="2"/>
                <w:lang w:eastAsia="zh-CN"/>
              </w:rPr>
              <w:t xml:space="preserve">. </w:t>
            </w: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1E92DB3D"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87E5E1" w14:textId="60E3CF41" w:rsidR="003E0DBF" w:rsidRDefault="003E0DBF" w:rsidP="00C74612">
            <w:pPr>
              <w:widowControl w:val="0"/>
              <w:spacing w:beforeLines="50" w:before="120"/>
              <w:rPr>
                <w:kern w:val="2"/>
                <w:lang w:eastAsia="zh-CN"/>
              </w:rPr>
            </w:pP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ListParagraph"/>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ListParagraph"/>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ListParagraph"/>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Pr>
                <w:kern w:val="2"/>
              </w:rPr>
              <w:t>”</w:t>
            </w:r>
            <w:r w:rsidRPr="00F439CC">
              <w:rPr>
                <w:kern w:val="2"/>
              </w:rPr>
              <w:t xml:space="preserve"> is </w:t>
            </w:r>
            <w:r>
              <w:rPr>
                <w:kern w:val="2"/>
              </w:rPr>
              <w:t>coupled with</w:t>
            </w:r>
            <w:r w:rsidRPr="00F439CC">
              <w:rPr>
                <w:kern w:val="2"/>
              </w:rPr>
              <w:t xml:space="preserve"> </w:t>
            </w:r>
            <w:r>
              <w:rPr>
                <w:kern w:val="2"/>
              </w:rPr>
              <w:t>“</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could be further discussed. By now, if no coupling rule is defined, it is default decoupled. From our perspective, no restriction rule is more flexible and gNB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 xml:space="preserve">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Heading3"/>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sidRPr="00F439CC">
        <w:rPr>
          <w:kern w:val="2"/>
        </w:rPr>
        <w:t xml:space="preserve"> and </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a note is added in the </w:t>
      </w:r>
      <w:proofErr w:type="gramStart"/>
      <w:r>
        <w:rPr>
          <w:kern w:val="2"/>
        </w:rPr>
        <w:t>description</w:t>
      </w:r>
      <w:proofErr w:type="gramEnd"/>
      <w:r>
        <w:rPr>
          <w:kern w:val="2"/>
        </w:rPr>
        <w:t xml:space="preserve">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kern w:val="2"/>
          <w:lang w:eastAsia="zh-CN"/>
        </w:rPr>
      </w:pPr>
      <w:r>
        <w:rPr>
          <w:kern w:val="2"/>
          <w:lang w:eastAsia="zh-CN"/>
        </w:rPr>
        <w:t xml:space="preserve">Considering Ericsson’s comments on </w:t>
      </w:r>
      <w:proofErr w:type="spellStart"/>
      <w:r>
        <w:rPr>
          <w:kern w:val="2"/>
          <w:lang w:eastAsia="zh-CN"/>
        </w:rPr>
        <w:t>betaoffset</w:t>
      </w:r>
      <w:proofErr w:type="spellEnd"/>
      <w:r>
        <w:rPr>
          <w:kern w:val="2"/>
          <w:lang w:eastAsia="zh-CN"/>
        </w:rPr>
        <w:t xml:space="preserve">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ListParagraph"/>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ListParagraph"/>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ListParagraph"/>
        <w:numPr>
          <w:ilvl w:val="0"/>
          <w:numId w:val="32"/>
        </w:numPr>
      </w:pPr>
      <w:r w:rsidRPr="00596ACE">
        <w:t>Multiplexing LP HARQ-ACK on HP PUSCH</w:t>
      </w:r>
    </w:p>
    <w:p w14:paraId="447F3C3A" w14:textId="77777777" w:rsidR="0048412A" w:rsidRDefault="0048412A" w:rsidP="0048412A">
      <w:pPr>
        <w:pStyle w:val="ListParagraph"/>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ListParagraph"/>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proofErr w:type="spellStart"/>
      <w:r w:rsidRPr="0048412A">
        <w:rPr>
          <w:i/>
        </w:rPr>
        <w:t>betaOffsets</w:t>
      </w:r>
      <w:proofErr w:type="spellEnd"/>
      <w:r w:rsidRPr="0048412A">
        <w:rPr>
          <w:i/>
        </w:rPr>
        <w:t xml:space="preserve"> </w:t>
      </w:r>
      <w:r w:rsidRPr="0048412A">
        <w:t xml:space="preserve">and </w:t>
      </w:r>
      <w:r w:rsidRPr="0048412A">
        <w:rPr>
          <w:i/>
        </w:rPr>
        <w:t>betaOffsetsDCI-0-2-r16.</w:t>
      </w:r>
    </w:p>
    <w:p w14:paraId="3201B782" w14:textId="6543CC9E" w:rsidR="0048412A" w:rsidRPr="00596ACE" w:rsidRDefault="0048412A" w:rsidP="00573F17">
      <w:pPr>
        <w:pStyle w:val="ListParagraph"/>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Microsoft YaHei"/>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w:t>
      </w:r>
      <w:proofErr w:type="spellStart"/>
      <w:r w:rsidRPr="00573F17">
        <w:rPr>
          <w:color w:val="FF0000"/>
          <w:lang w:val="en-US" w:eastAsia="zh-CN"/>
        </w:rPr>
        <w:t>pucch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and </w:t>
      </w:r>
      <w:proofErr w:type="spellStart"/>
      <w:r w:rsidRPr="00573F17">
        <w:rPr>
          <w:color w:val="FF0000"/>
          <w:lang w:val="en-US" w:eastAsia="zh-CN"/>
        </w:rPr>
        <w:t>pusch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should be combine into one enabling parameter HARQ-ACK-</w:t>
      </w:r>
      <w:proofErr w:type="spellStart"/>
      <w:r w:rsidRPr="00573F17">
        <w:rPr>
          <w:color w:val="FF0000"/>
          <w:lang w:val="en-US" w:eastAsia="zh-CN"/>
        </w:rPr>
        <w:t>MuxWithDifferentPriority</w:t>
      </w:r>
      <w:proofErr w:type="spellEnd"/>
      <w:r w:rsidRPr="00573F17">
        <w:rPr>
          <w:color w:val="FF0000"/>
          <w:lang w:val="en-US" w:eastAsia="zh-CN"/>
        </w:rPr>
        <w:t>.</w:t>
      </w:r>
    </w:p>
    <w:p w14:paraId="7A207BF5" w14:textId="2ADA6422" w:rsidR="000A05CE" w:rsidRPr="00573F17" w:rsidRDefault="000A05CE" w:rsidP="0048412A">
      <w:pPr>
        <w:rPr>
          <w:color w:val="FF0000"/>
          <w:lang w:val="en-US" w:eastAsia="zh-CN"/>
        </w:rPr>
      </w:pPr>
      <w:r w:rsidRPr="000A05CE">
        <w:rPr>
          <w:color w:val="FF0000"/>
          <w:lang w:val="en-US" w:eastAsia="zh-CN"/>
        </w:rPr>
        <w:t xml:space="preserve">Note: It has not been agreed whether the new </w:t>
      </w:r>
      <w:proofErr w:type="spellStart"/>
      <w:r w:rsidRPr="000A05CE">
        <w:rPr>
          <w:color w:val="FF0000"/>
          <w:lang w:val="en-US" w:eastAsia="zh-CN"/>
        </w:rPr>
        <w:t>betaoffset</w:t>
      </w:r>
      <w:proofErr w:type="spellEnd"/>
      <w:r w:rsidRPr="000A05CE">
        <w:rPr>
          <w:color w:val="FF0000"/>
          <w:lang w:val="en-US" w:eastAsia="zh-CN"/>
        </w:rPr>
        <w:t xml:space="preserve"> values are separately </w:t>
      </w:r>
      <w:r w:rsidR="00B347C0">
        <w:rPr>
          <w:color w:val="FF0000"/>
          <w:lang w:val="en-US" w:eastAsia="zh-CN"/>
        </w:rPr>
        <w:t>define</w:t>
      </w:r>
      <w:r w:rsidRPr="000A05CE">
        <w:rPr>
          <w:color w:val="FF0000"/>
          <w:lang w:val="en-US" w:eastAsia="zh-CN"/>
        </w:rPr>
        <w:t>d for DCI0-1 and DCI0-2.</w:t>
      </w:r>
    </w:p>
    <w:tbl>
      <w:tblPr>
        <w:tblStyle w:val="TableGrid"/>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167ED91A" w:rsidR="0048412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5437EF00" w14:textId="3A84B3AF" w:rsidR="0048412A" w:rsidRPr="00ED0ECD" w:rsidRDefault="005D297E" w:rsidP="00C74612">
            <w:pPr>
              <w:spacing w:beforeLines="50" w:before="120"/>
              <w:rPr>
                <w:rFonts w:eastAsia="MS Mincho"/>
                <w:iCs/>
                <w:kern w:val="2"/>
                <w:lang w:eastAsia="ja-JP"/>
              </w:rPr>
            </w:pPr>
            <w:r>
              <w:rPr>
                <w:rFonts w:eastAsia="MS Mincho"/>
                <w:iCs/>
                <w:kern w:val="2"/>
                <w:lang w:eastAsia="ja-JP"/>
              </w:rPr>
              <w:t>Fine with v003 on these parameters.</w:t>
            </w:r>
            <w:r>
              <w:rPr>
                <w:rFonts w:eastAsia="MS Mincho"/>
                <w:iCs/>
                <w:kern w:val="2"/>
                <w:lang w:eastAsia="ja-JP"/>
              </w:rPr>
              <w:br/>
              <w:t>We would think it is more flexible to have separate configuration of PUCCH mux and PUSCH mux but of course we need further discussion to get more clarity.</w:t>
            </w: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55AE0AE0" w:rsidR="0048412A" w:rsidRDefault="008D4619" w:rsidP="00C74612">
            <w:pPr>
              <w:widowControl w:val="0"/>
              <w:spacing w:beforeLines="50" w:before="120"/>
              <w:rPr>
                <w:kern w:val="2"/>
                <w:lang w:eastAsia="zh-CN"/>
              </w:rPr>
            </w:pPr>
            <w:r>
              <w:rPr>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E925346" w14:textId="7AABAE20" w:rsidR="0048412A"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6: the ‘</w:t>
            </w:r>
            <w:r w:rsidRPr="008D4619">
              <w:rPr>
                <w:rFonts w:eastAsia="Microsoft YaHei"/>
                <w:color w:val="FF0000"/>
                <w:sz w:val="22"/>
                <w:szCs w:val="21"/>
              </w:rPr>
              <w:t>CSI</w:t>
            </w:r>
            <w:r>
              <w:rPr>
                <w:rFonts w:eastAsia="Microsoft YaHei"/>
                <w:color w:val="000000"/>
                <w:sz w:val="22"/>
                <w:szCs w:val="21"/>
              </w:rPr>
              <w:t>’ in red has to be removed, as the description is talking about multiplexing of a different priority (and there seems to be no support for multiplexing CSI of one priority on a PUSCH of a different priority)</w:t>
            </w:r>
          </w:p>
          <w:p w14:paraId="274406ED" w14:textId="352418FF"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 xml:space="preserve">Row 8: It is slightly unclear, if this applies to DCI format 0_1 only or at least would include also DCI format 0_0? Maybe no need to change this now, but maybe this could be somehow </w:t>
            </w:r>
            <w:proofErr w:type="spellStart"/>
            <w:r>
              <w:rPr>
                <w:rFonts w:eastAsia="Microsoft YaHei"/>
                <w:color w:val="000000"/>
                <w:sz w:val="22"/>
                <w:szCs w:val="21"/>
              </w:rPr>
              <w:t>color</w:t>
            </w:r>
            <w:proofErr w:type="spellEnd"/>
            <w:r>
              <w:rPr>
                <w:rFonts w:eastAsia="Microsoft YaHei"/>
                <w:color w:val="000000"/>
                <w:sz w:val="22"/>
                <w:szCs w:val="21"/>
              </w:rPr>
              <w:t xml:space="preserve"> coded in the final version to make sure this is not fixed yet. </w:t>
            </w:r>
          </w:p>
          <w:p w14:paraId="44DFB06C" w14:textId="247FD659"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9: What would be the reason to have a different value set that can be configured for DCI format 0_2 than 0_1 (&amp; 0_</w:t>
            </w:r>
            <w:proofErr w:type="gramStart"/>
            <w:r>
              <w:rPr>
                <w:rFonts w:eastAsia="Microsoft YaHei"/>
                <w:color w:val="000000"/>
                <w:sz w:val="22"/>
                <w:szCs w:val="21"/>
              </w:rPr>
              <w:t>0?)?.</w:t>
            </w:r>
            <w:proofErr w:type="gramEnd"/>
            <w:r>
              <w:rPr>
                <w:rFonts w:eastAsia="Microsoft YaHei"/>
                <w:color w:val="000000"/>
                <w:sz w:val="22"/>
                <w:szCs w:val="21"/>
              </w:rPr>
              <w:t xml:space="preserve"> Isn’t row 7 enough to </w:t>
            </w:r>
            <w:proofErr w:type="gramStart"/>
            <w:r>
              <w:rPr>
                <w:rFonts w:eastAsia="Microsoft YaHei"/>
                <w:color w:val="000000"/>
                <w:sz w:val="22"/>
                <w:szCs w:val="21"/>
              </w:rPr>
              <w:t>defined</w:t>
            </w:r>
            <w:proofErr w:type="gramEnd"/>
            <w:r>
              <w:rPr>
                <w:rFonts w:eastAsia="Microsoft YaHei"/>
                <w:color w:val="000000"/>
                <w:sz w:val="22"/>
                <w:szCs w:val="21"/>
              </w:rPr>
              <w:t xml:space="preserve"> the list here. </w:t>
            </w:r>
            <w:r w:rsidRPr="00A8034E">
              <w:rPr>
                <w:rFonts w:eastAsia="Microsoft YaHei"/>
                <w:b/>
                <w:bCs/>
                <w:color w:val="000000"/>
                <w:sz w:val="22"/>
                <w:szCs w:val="21"/>
              </w:rPr>
              <w:t>If it is unclear if this is needed or supported, would propose to mark this row in yellow.</w:t>
            </w:r>
            <w:r>
              <w:rPr>
                <w:rFonts w:eastAsia="Microsoft YaHei"/>
                <w:color w:val="000000"/>
                <w:sz w:val="22"/>
                <w:szCs w:val="21"/>
              </w:rPr>
              <w:t xml:space="preserve"> </w:t>
            </w:r>
          </w:p>
          <w:p w14:paraId="574EE4BB" w14:textId="317191BC" w:rsidR="00A8034E" w:rsidRPr="00A8034E" w:rsidRDefault="00A8034E" w:rsidP="00C91733">
            <w:pPr>
              <w:overflowPunct/>
              <w:autoSpaceDE/>
              <w:autoSpaceDN/>
              <w:adjustRightInd/>
              <w:spacing w:before="100" w:beforeAutospacing="1" w:after="100" w:afterAutospacing="1"/>
              <w:textAlignment w:val="auto"/>
              <w:rPr>
                <w:rFonts w:eastAsia="Microsoft YaHei"/>
                <w:b/>
                <w:bCs/>
                <w:color w:val="000000"/>
                <w:sz w:val="22"/>
                <w:szCs w:val="21"/>
              </w:rPr>
            </w:pPr>
            <w:r>
              <w:rPr>
                <w:rFonts w:eastAsia="Microsoft YaHei"/>
                <w:color w:val="000000"/>
                <w:sz w:val="22"/>
                <w:szCs w:val="21"/>
              </w:rPr>
              <w:t xml:space="preserve">Row 10: Similar here, as other companies commented we have not agreed to have separate list for DCI format 0_2. </w:t>
            </w:r>
            <w:r w:rsidRPr="00A8034E">
              <w:rPr>
                <w:rFonts w:eastAsia="Microsoft YaHei"/>
                <w:b/>
                <w:bCs/>
                <w:color w:val="000000"/>
                <w:sz w:val="22"/>
                <w:szCs w:val="21"/>
              </w:rPr>
              <w:t xml:space="preserve">So maybe better to have this row marked in yellow. </w:t>
            </w:r>
          </w:p>
          <w:p w14:paraId="22BADBD8" w14:textId="7F3926CC" w:rsidR="008D4619" w:rsidRPr="007A568E"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11C87FF2" w:rsidR="0048412A" w:rsidRDefault="000B731D" w:rsidP="00C74612">
            <w:pPr>
              <w:widowControl w:val="0"/>
              <w:spacing w:beforeLines="50" w:before="120"/>
              <w:rPr>
                <w:kern w:val="2"/>
                <w:lang w:eastAsia="zh-CN"/>
              </w:rPr>
            </w:pPr>
            <w:r>
              <w:rPr>
                <w:kern w:val="2"/>
                <w:lang w:eastAsia="zh-CN"/>
              </w:rPr>
              <w:lastRenderedPageBreak/>
              <w:t xml:space="preserve">Intel </w:t>
            </w:r>
          </w:p>
        </w:tc>
        <w:tc>
          <w:tcPr>
            <w:tcW w:w="8105" w:type="dxa"/>
            <w:tcBorders>
              <w:top w:val="single" w:sz="4" w:space="0" w:color="auto"/>
              <w:left w:val="single" w:sz="4" w:space="0" w:color="auto"/>
              <w:bottom w:val="single" w:sz="4" w:space="0" w:color="auto"/>
              <w:right w:val="single" w:sz="4" w:space="0" w:color="auto"/>
            </w:tcBorders>
          </w:tcPr>
          <w:p w14:paraId="3BCB5192" w14:textId="7B5C2B98" w:rsidR="000B731D" w:rsidRDefault="000B731D" w:rsidP="000B731D">
            <w:pPr>
              <w:widowControl w:val="0"/>
              <w:spacing w:beforeLines="50" w:before="120"/>
              <w:rPr>
                <w:kern w:val="2"/>
                <w:lang w:eastAsia="zh-CN"/>
              </w:rPr>
            </w:pPr>
            <w:r>
              <w:rPr>
                <w:kern w:val="2"/>
              </w:rPr>
              <w:t>F</w:t>
            </w:r>
            <w:r>
              <w:rPr>
                <w:rFonts w:hint="eastAsia"/>
                <w:kern w:val="2"/>
                <w:lang w:eastAsia="zh-CN"/>
              </w:rPr>
              <w:t>o</w:t>
            </w:r>
            <w:r>
              <w:rPr>
                <w:kern w:val="2"/>
                <w:lang w:eastAsia="zh-CN"/>
              </w:rPr>
              <w:t xml:space="preserve">r Row 6, we agree with Nokia to delete CSI, because there is no agreement to support multiplexing CSI on a PUSCH with different priority. </w:t>
            </w:r>
          </w:p>
          <w:p w14:paraId="55B17BF5" w14:textId="314CF38A" w:rsidR="0048412A" w:rsidRPr="000B731D" w:rsidRDefault="000B731D" w:rsidP="000B731D">
            <w:pPr>
              <w:widowControl w:val="0"/>
              <w:spacing w:beforeLines="50" w:before="120"/>
            </w:pPr>
            <w:r>
              <w:t>In addition to existing rows, w</w:t>
            </w:r>
            <w:r>
              <w:t xml:space="preserve">e suggest </w:t>
            </w:r>
            <w:proofErr w:type="gramStart"/>
            <w:r>
              <w:t>to add</w:t>
            </w:r>
            <w:proofErr w:type="gramEnd"/>
            <w:r>
              <w:t xml:space="preserve"> one row for parameter </w:t>
            </w:r>
            <w:r w:rsidRPr="00EE4552">
              <w:t>betaOffsetsCrossPri-r17</w:t>
            </w:r>
            <w:r>
              <w:t xml:space="preserve"> in </w:t>
            </w:r>
            <w:proofErr w:type="spellStart"/>
            <w:r w:rsidRPr="000B731D">
              <w:rPr>
                <w:i/>
                <w:iCs/>
              </w:rPr>
              <w:t>ConfiguredGrantConfig</w:t>
            </w:r>
            <w:proofErr w:type="spellEnd"/>
            <w:r>
              <w:t xml:space="preserve"> IE. </w:t>
            </w:r>
            <w:r>
              <w:rPr>
                <w:kern w:val="2"/>
              </w:rPr>
              <w:t>I</w:t>
            </w:r>
            <w:r>
              <w:rPr>
                <w:rFonts w:hint="eastAsia"/>
                <w:kern w:val="2"/>
              </w:rPr>
              <w:t>n</w:t>
            </w:r>
            <w:r>
              <w:rPr>
                <w:kern w:val="2"/>
              </w:rPr>
              <w:t xml:space="preserve"> our understanding, HARQ-ACK multiplexing in a PUSCH with different priority is supported for both dynamic scheduled PUSCH and CG PUSCH, no matter it is </w:t>
            </w:r>
            <w:proofErr w:type="gramStart"/>
            <w:r>
              <w:rPr>
                <w:kern w:val="2"/>
              </w:rPr>
              <w:t>enabled  by</w:t>
            </w:r>
            <w:proofErr w:type="gramEnd"/>
            <w:r>
              <w:rPr>
                <w:kern w:val="2"/>
              </w:rPr>
              <w:t xml:space="preserve"> a single RRC parameter or separate RRC parameters in proposal 1. Therefore, we think new beta offsets should be introduced in both </w:t>
            </w:r>
            <w:r w:rsidRPr="000B731D">
              <w:rPr>
                <w:i/>
                <w:iCs/>
                <w:kern w:val="2"/>
              </w:rPr>
              <w:t>PUSCH-Config</w:t>
            </w:r>
            <w:r>
              <w:rPr>
                <w:kern w:val="2"/>
              </w:rPr>
              <w:t xml:space="preserve"> and </w:t>
            </w:r>
            <w:proofErr w:type="spellStart"/>
            <w:r w:rsidRPr="000B731D">
              <w:rPr>
                <w:i/>
                <w:iCs/>
              </w:rPr>
              <w:t>ConfiguredGrantConfig</w:t>
            </w:r>
            <w:proofErr w:type="spellEnd"/>
            <w:r w:rsidRPr="000B731D">
              <w:rPr>
                <w:i/>
                <w:iCs/>
              </w:rPr>
              <w:t xml:space="preserve"> </w:t>
            </w:r>
            <w:r>
              <w:t>respectively. For DG PUSCH, the beta offsets for cross-priority should be the list, while single beta offset IE for cross-priority in CG PUSCH is sufficient.</w:t>
            </w: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59D620CA"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0D7E6F" w14:textId="63F56FFD" w:rsidR="0048412A" w:rsidRDefault="0048412A" w:rsidP="00C74612">
            <w:pPr>
              <w:widowControl w:val="0"/>
              <w:spacing w:beforeLines="50" w:before="120"/>
              <w:rPr>
                <w:kern w:val="2"/>
                <w:lang w:eastAsia="zh-CN"/>
              </w:rPr>
            </w:pP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Heading3"/>
        <w:numPr>
          <w:ilvl w:val="2"/>
          <w:numId w:val="30"/>
        </w:numPr>
      </w:pPr>
      <w:r>
        <w:lastRenderedPageBreak/>
        <w:t>2nd Round</w:t>
      </w:r>
    </w:p>
    <w:p w14:paraId="7BF0FE61" w14:textId="45857296" w:rsidR="006973AD" w:rsidRPr="006973AD" w:rsidRDefault="006973AD" w:rsidP="006973AD">
      <w:pPr>
        <w:rPr>
          <w:lang w:eastAsia="zh-CN"/>
        </w:rPr>
      </w:pPr>
      <w:r>
        <w:t>Void</w:t>
      </w:r>
      <w:r>
        <w:rPr>
          <w:rFonts w:hint="eastAsia"/>
          <w:lang w:eastAsia="zh-CN"/>
        </w:rPr>
        <w:t>.</w:t>
      </w:r>
    </w:p>
    <w:p w14:paraId="0ED8E8D8" w14:textId="40751150" w:rsidR="00404B5A" w:rsidRDefault="00404B5A" w:rsidP="00404B5A">
      <w:pPr>
        <w:pStyle w:val="Heading3"/>
        <w:numPr>
          <w:ilvl w:val="2"/>
          <w:numId w:val="30"/>
        </w:numPr>
      </w:pPr>
      <w:r>
        <w:t>3rd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ListParagraph"/>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t>Note: Still FFS whether the feature is supported for intra-band CA.</w:t>
      </w:r>
    </w:p>
    <w:tbl>
      <w:tblPr>
        <w:tblStyle w:val="TableGrid"/>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10D3FA96" w:rsidR="00404B5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653B6CC3" w14:textId="16B8E656" w:rsidR="00404B5A" w:rsidRPr="00652D37" w:rsidRDefault="005D297E" w:rsidP="00C74612">
            <w:pPr>
              <w:spacing w:beforeLines="50" w:before="120"/>
              <w:rPr>
                <w:rFonts w:eastAsia="MS Mincho"/>
                <w:iCs/>
                <w:kern w:val="2"/>
                <w:lang w:eastAsia="ja-JP"/>
              </w:rPr>
            </w:pPr>
            <w:r>
              <w:rPr>
                <w:rFonts w:eastAsia="MS Mincho"/>
                <w:iCs/>
                <w:kern w:val="2"/>
                <w:lang w:eastAsia="ja-JP"/>
              </w:rPr>
              <w:t>Fine with v003 for this parameter.</w:t>
            </w: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5517F5C8" w:rsidR="00404B5A" w:rsidRDefault="000B731D"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0AAE7B7" w14:textId="494C5BE2" w:rsidR="00404B5A" w:rsidRDefault="000B731D" w:rsidP="00C74612">
            <w:pPr>
              <w:widowControl w:val="0"/>
              <w:spacing w:beforeLines="50" w:before="120"/>
              <w:rPr>
                <w:kern w:val="2"/>
                <w:lang w:eastAsia="zh-CN"/>
              </w:rPr>
            </w:pPr>
            <w:r>
              <w:rPr>
                <w:kern w:val="2"/>
                <w:lang w:eastAsia="zh-CN"/>
              </w:rPr>
              <w:t xml:space="preserve">We are fine with v003. </w:t>
            </w: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63F550B0"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2D8261" w14:textId="18969596" w:rsidR="00404B5A" w:rsidRDefault="00404B5A" w:rsidP="00C74612">
            <w:pPr>
              <w:widowControl w:val="0"/>
              <w:spacing w:beforeLines="50" w:before="120"/>
              <w:rPr>
                <w:kern w:val="2"/>
                <w:lang w:eastAsia="zh-CN"/>
              </w:rPr>
            </w:pPr>
          </w:p>
        </w:tc>
      </w:tr>
      <w:tr w:rsidR="00404B5A" w14:paraId="697C8BB3" w14:textId="77777777" w:rsidTr="00C74612">
        <w:tc>
          <w:tcPr>
            <w:tcW w:w="1529" w:type="dxa"/>
          </w:tcPr>
          <w:p w14:paraId="7EA3D9E1" w14:textId="18182915" w:rsidR="00404B5A" w:rsidRDefault="00404B5A" w:rsidP="00C74612">
            <w:pPr>
              <w:widowControl w:val="0"/>
              <w:spacing w:beforeLines="50" w:before="120"/>
              <w:rPr>
                <w:kern w:val="2"/>
                <w:lang w:eastAsia="zh-CN"/>
              </w:rPr>
            </w:pPr>
          </w:p>
        </w:tc>
        <w:tc>
          <w:tcPr>
            <w:tcW w:w="8105" w:type="dxa"/>
          </w:tcPr>
          <w:p w14:paraId="346D8B0F" w14:textId="55256ECA" w:rsidR="00404B5A" w:rsidRDefault="00404B5A" w:rsidP="00C74612">
            <w:pPr>
              <w:widowControl w:val="0"/>
              <w:spacing w:beforeLines="50" w:before="120"/>
              <w:rPr>
                <w:kern w:val="2"/>
                <w:lang w:eastAsia="zh-CN"/>
              </w:rPr>
            </w:pP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D132" w14:textId="77777777" w:rsidR="0006240F" w:rsidRDefault="0006240F">
      <w:r>
        <w:separator/>
      </w:r>
    </w:p>
  </w:endnote>
  <w:endnote w:type="continuationSeparator" w:id="0">
    <w:p w14:paraId="53CF5C07" w14:textId="77777777" w:rsidR="0006240F" w:rsidRDefault="0006240F">
      <w:r>
        <w:continuationSeparator/>
      </w:r>
    </w:p>
  </w:endnote>
  <w:endnote w:type="continuationNotice" w:id="1">
    <w:p w14:paraId="0B826330" w14:textId="77777777" w:rsidR="0006240F" w:rsidRDefault="00062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2959" w14:textId="77777777" w:rsidR="0006240F" w:rsidRDefault="0006240F">
      <w:r>
        <w:separator/>
      </w:r>
    </w:p>
  </w:footnote>
  <w:footnote w:type="continuationSeparator" w:id="0">
    <w:p w14:paraId="1C969BAC" w14:textId="77777777" w:rsidR="0006240F" w:rsidRDefault="0006240F">
      <w:r>
        <w:continuationSeparator/>
      </w:r>
    </w:p>
  </w:footnote>
  <w:footnote w:type="continuationNotice" w:id="1">
    <w:p w14:paraId="79D8489C" w14:textId="77777777" w:rsidR="0006240F" w:rsidRDefault="000624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0"/>
  </w:num>
  <w:num w:numId="2">
    <w:abstractNumId w:val="3"/>
  </w:num>
  <w:num w:numId="3">
    <w:abstractNumId w:val="29"/>
  </w:num>
  <w:num w:numId="4">
    <w:abstractNumId w:val="45"/>
  </w:num>
  <w:num w:numId="5">
    <w:abstractNumId w:val="30"/>
  </w:num>
  <w:num w:numId="6">
    <w:abstractNumId w:val="27"/>
  </w:num>
  <w:num w:numId="7">
    <w:abstractNumId w:val="4"/>
  </w:num>
  <w:num w:numId="8">
    <w:abstractNumId w:val="43"/>
  </w:num>
  <w:num w:numId="9">
    <w:abstractNumId w:val="22"/>
  </w:num>
  <w:num w:numId="10">
    <w:abstractNumId w:val="35"/>
  </w:num>
  <w:num w:numId="11">
    <w:abstractNumId w:val="28"/>
  </w:num>
  <w:num w:numId="12">
    <w:abstractNumId w:val="15"/>
  </w:num>
  <w:num w:numId="13">
    <w:abstractNumId w:val="1"/>
  </w:num>
  <w:num w:numId="14">
    <w:abstractNumId w:val="42"/>
  </w:num>
  <w:num w:numId="15">
    <w:abstractNumId w:val="0"/>
  </w:num>
  <w:num w:numId="16">
    <w:abstractNumId w:val="31"/>
  </w:num>
  <w:num w:numId="17">
    <w:abstractNumId w:val="32"/>
  </w:num>
  <w:num w:numId="18">
    <w:abstractNumId w:val="44"/>
  </w:num>
  <w:num w:numId="19">
    <w:abstractNumId w:val="17"/>
  </w:num>
  <w:num w:numId="20">
    <w:abstractNumId w:val="24"/>
  </w:num>
  <w:num w:numId="21">
    <w:abstractNumId w:val="19"/>
  </w:num>
  <w:num w:numId="22">
    <w:abstractNumId w:val="14"/>
  </w:num>
  <w:num w:numId="23">
    <w:abstractNumId w:val="23"/>
  </w:num>
  <w:num w:numId="24">
    <w:abstractNumId w:val="37"/>
  </w:num>
  <w:num w:numId="25">
    <w:abstractNumId w:val="26"/>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
  </w:num>
  <w:num w:numId="31">
    <w:abstractNumId w:val="11"/>
  </w:num>
  <w:num w:numId="32">
    <w:abstractNumId w:val="41"/>
  </w:num>
  <w:num w:numId="33">
    <w:abstractNumId w:val="38"/>
  </w:num>
  <w:num w:numId="34">
    <w:abstractNumId w:val="12"/>
  </w:num>
  <w:num w:numId="35">
    <w:abstractNumId w:val="6"/>
  </w:num>
  <w:num w:numId="36">
    <w:abstractNumId w:val="25"/>
  </w:num>
  <w:num w:numId="37">
    <w:abstractNumId w:val="39"/>
  </w:num>
  <w:num w:numId="38">
    <w:abstractNumId w:val="36"/>
  </w:num>
  <w:num w:numId="39">
    <w:abstractNumId w:val="9"/>
  </w:num>
  <w:num w:numId="40">
    <w:abstractNumId w:val="40"/>
  </w:num>
  <w:num w:numId="41">
    <w:abstractNumId w:val="13"/>
  </w:num>
  <w:num w:numId="42">
    <w:abstractNumId w:val="18"/>
  </w:num>
  <w:num w:numId="43">
    <w:abstractNumId w:val="34"/>
  </w:num>
  <w:num w:numId="44">
    <w:abstractNumId w:val="8"/>
  </w:num>
  <w:num w:numId="45">
    <w:abstractNumId w:val="33"/>
  </w:num>
  <w:num w:numId="46">
    <w:abstractNumId w:val="16"/>
  </w:num>
  <w:num w:numId="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0F"/>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31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8C7"/>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5A31"/>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97E"/>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36E"/>
    <w:rsid w:val="008D4575"/>
    <w:rsid w:val="008D4619"/>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4E"/>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AED"/>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67C"/>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2928284-E5C8-4A73-8162-6CABEE73E6D0}">
  <ds:schemaRefs>
    <ds:schemaRef ds:uri="http://schemas.openxmlformats.org/officeDocument/2006/bibliography"/>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9</Pages>
  <Words>3009</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Wang, Yi5</cp:lastModifiedBy>
  <cp:revision>2</cp:revision>
  <cp:lastPrinted>2016-06-22T11:35:00Z</cp:lastPrinted>
  <dcterms:created xsi:type="dcterms:W3CDTF">2021-09-09T02:25:00Z</dcterms:created>
  <dcterms:modified xsi:type="dcterms:W3CDTF">2021-09-09T02:25:00Z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