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maxCodeRate</w:t>
      </w:r>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So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PUCCH-FormatConfig</w:t>
      </w:r>
      <w:r w:rsidR="00141784">
        <w:t xml:space="preserve"> with </w:t>
      </w:r>
      <w:r>
        <w:t xml:space="preserve">the same value range as </w:t>
      </w:r>
      <w:r w:rsidRPr="00ED0ECD">
        <w:rPr>
          <w:rFonts w:eastAsia="MS Mincho"/>
          <w:i/>
          <w:kern w:val="2"/>
          <w:lang w:eastAsia="ja-JP"/>
        </w:rPr>
        <w:t>maxCodeRate</w:t>
      </w:r>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6"/>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맑은 고딕" w:hint="eastAsia"/>
                <w:iCs/>
                <w:kern w:val="2"/>
                <w:lang w:eastAsia="ko-KR"/>
              </w:rPr>
            </w:pPr>
            <w:r>
              <w:rPr>
                <w:rFonts w:eastAsia="맑은 고딕"/>
                <w:iCs/>
                <w:kern w:val="2"/>
                <w:lang w:eastAsia="ko-KR"/>
              </w:rPr>
              <w:t>W</w:t>
            </w:r>
            <w:r>
              <w:rPr>
                <w:rFonts w:eastAsia="맑은 고딕" w:hint="eastAsia"/>
                <w:iCs/>
                <w:kern w:val="2"/>
                <w:lang w:eastAsia="ko-KR"/>
              </w:rPr>
              <w:t xml:space="preserve">e </w:t>
            </w:r>
            <w:r>
              <w:rPr>
                <w:rFonts w:eastAsia="맑은 고딕"/>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76497EE1"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A4ADEA" w14:textId="6323FA62" w:rsidR="00141784" w:rsidRPr="00EE397D" w:rsidRDefault="00141784" w:rsidP="00F464D2">
            <w:pPr>
              <w:widowControl w:val="0"/>
              <w:spacing w:beforeLines="50" w:before="120"/>
              <w:rPr>
                <w:kern w:val="2"/>
              </w:rPr>
            </w:pPr>
          </w:p>
        </w:tc>
      </w:tr>
      <w:tr w:rsidR="00141784"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BB5D6B" w14:textId="77777777" w:rsidR="00141784" w:rsidRDefault="00141784" w:rsidP="0021014B">
            <w:pPr>
              <w:widowControl w:val="0"/>
              <w:spacing w:beforeLines="50" w:before="120"/>
              <w:rPr>
                <w:kern w:val="2"/>
                <w:lang w:eastAsia="zh-CN"/>
              </w:rPr>
            </w:pP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F9D62" w14:textId="77777777" w:rsidR="00141784" w:rsidRDefault="00141784" w:rsidP="0021014B">
            <w:pPr>
              <w:widowControl w:val="0"/>
              <w:spacing w:beforeLines="50" w:before="120"/>
              <w:rPr>
                <w:kern w:val="2"/>
                <w:lang w:eastAsia="zh-CN"/>
              </w:rPr>
            </w:pP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 xml:space="preserve">UCI-OnPUSCH’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6"/>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lastRenderedPageBreak/>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w:t>
                  </w:r>
                  <w:r w:rsidRPr="00FF20DC">
                    <w:rPr>
                      <w:rFonts w:eastAsia="MS Mincho"/>
                      <w:iCs/>
                      <w:color w:val="FF0000"/>
                      <w:kern w:val="2"/>
                      <w:lang w:eastAsia="ja-JP"/>
                    </w:rPr>
                    <w:t xml:space="preserve"> 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af6"/>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UCI-OnPUSCH</w:t>
            </w:r>
            <w:r>
              <w:t>/</w:t>
            </w:r>
            <w:r w:rsidRPr="006F115B">
              <w:t xml:space="preserve"> UCI-OnPUSCH-DCI-0-2-r16</w:t>
            </w:r>
            <w:r>
              <w:t xml:space="preserve">. We didn’t agree to introduce additional </w:t>
            </w:r>
            <w:r w:rsidRPr="00D93CD3">
              <w:t>UCI-OnPUSCH</w:t>
            </w:r>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a on betaOffset</w:t>
      </w:r>
      <w:r w:rsidR="00E605D9">
        <w:rPr>
          <w:lang w:val="en-US"/>
        </w:rPr>
        <w:t>s</w:t>
      </w:r>
      <w:r w:rsidRPr="00CF55BD">
        <w:rPr>
          <w:lang w:val="en-US"/>
        </w:rPr>
        <w:t xml:space="preserve">, the newly-added parameter is changed to </w:t>
      </w:r>
      <w:r w:rsidRPr="00CF55BD">
        <w:rPr>
          <w:i/>
          <w:lang w:val="en-US"/>
        </w:rPr>
        <w:t>betaOffsets</w:t>
      </w:r>
      <w:r w:rsidRPr="00CF55BD">
        <w:rPr>
          <w:i/>
        </w:rPr>
        <w:t>CrossPri-r17</w:t>
      </w:r>
      <w:r w:rsidRPr="00CF55BD">
        <w:t xml:space="preserve"> and </w:t>
      </w:r>
      <w:r w:rsidRPr="00CF55BD">
        <w:rPr>
          <w:i/>
          <w:lang w:val="en-US"/>
        </w:rPr>
        <w:t>betaOffsets</w:t>
      </w:r>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r w:rsidR="00E605D9" w:rsidRPr="00CF55BD">
        <w:rPr>
          <w:lang w:val="en-US"/>
        </w:rPr>
        <w:t>betaOffset</w:t>
      </w:r>
      <w:r w:rsidR="00E605D9">
        <w:rPr>
          <w:lang w:val="en-US"/>
        </w:rPr>
        <w:t>s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UCI-OnPUSCH</w:t>
      </w:r>
      <w:r>
        <w:t>/</w:t>
      </w:r>
      <w:r w:rsidRPr="006F115B">
        <w:t>UCI-OnPUSCH-DCI-0-2-r16</w:t>
      </w:r>
      <w:r>
        <w:t xml:space="preserve">, the question to be answered is: Is it reasonable to put a “-r17” parameter into a “-r16” parent IE? So far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So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lastRenderedPageBreak/>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r w:rsidRPr="00E605D9">
        <w:rPr>
          <w:i/>
        </w:rPr>
        <w:t xml:space="preserve">betaOffsets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6"/>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맑은 고딕"/>
                <w:iCs/>
                <w:kern w:val="2"/>
                <w:lang w:eastAsia="ko-KR"/>
              </w:rPr>
            </w:pPr>
            <w:r>
              <w:rPr>
                <w:rFonts w:eastAsia="맑은 고딕"/>
                <w:iCs/>
                <w:kern w:val="2"/>
                <w:lang w:eastAsia="ko-KR"/>
              </w:rPr>
              <w:t>W</w:t>
            </w:r>
            <w:r>
              <w:rPr>
                <w:rFonts w:eastAsia="맑은 고딕" w:hint="eastAsia"/>
                <w:iCs/>
                <w:kern w:val="2"/>
                <w:lang w:eastAsia="ko-KR"/>
              </w:rPr>
              <w:t xml:space="preserve">e </w:t>
            </w:r>
            <w:r>
              <w:rPr>
                <w:rFonts w:eastAsia="맑은 고딕"/>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맑은 고딕"/>
                <w:iCs/>
                <w:kern w:val="2"/>
                <w:lang w:eastAsia="ko-KR"/>
              </w:rPr>
              <w:t xml:space="preserve">And, we also think that </w:t>
            </w:r>
            <w:r>
              <w:rPr>
                <w:rFonts w:eastAsia="MS Mincho"/>
                <w:iCs/>
                <w:kern w:val="2"/>
                <w:lang w:eastAsia="ja-JP"/>
              </w:rPr>
              <w:t xml:space="preserve">DCI </w:t>
            </w:r>
            <w:r>
              <w:rPr>
                <w:rFonts w:eastAsia="MS Mincho"/>
                <w:iCs/>
                <w:kern w:val="2"/>
                <w:lang w:eastAsia="ja-JP"/>
              </w:rPr>
              <w:t>0_0</w:t>
            </w:r>
            <w:r>
              <w:rPr>
                <w:rFonts w:eastAsia="MS Mincho"/>
                <w:iCs/>
                <w:kern w:val="2"/>
                <w:lang w:eastAsia="ja-JP"/>
              </w:rPr>
              <w:t xml:space="preserve"> would follow </w:t>
            </w:r>
            <w:r>
              <w:rPr>
                <w:rFonts w:eastAsia="맑은 고딕"/>
                <w:iCs/>
                <w:kern w:val="2"/>
                <w:lang w:eastAsia="ko-KR"/>
              </w:rPr>
              <w:t>Rel-15/16 rule without introducing additional parameter</w:t>
            </w:r>
            <w:r>
              <w:rPr>
                <w:rFonts w:eastAsia="MS Mincho"/>
                <w:iCs/>
                <w:kern w:val="2"/>
                <w:lang w:eastAsia="ja-JP"/>
              </w:rPr>
              <w:t>.</w:t>
            </w:r>
            <w:bookmarkStart w:id="2" w:name="_GoBack"/>
            <w:bookmarkEnd w:id="2"/>
          </w:p>
        </w:tc>
      </w:tr>
      <w:tr w:rsidR="00EE397D"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38C7D2" w14:textId="77777777" w:rsidR="00EE397D" w:rsidRPr="00F464D2" w:rsidRDefault="00EE397D" w:rsidP="00AD02E9">
            <w:pPr>
              <w:widowControl w:val="0"/>
              <w:spacing w:beforeLines="50" w:before="120"/>
              <w:rPr>
                <w:kern w:val="2"/>
              </w:rPr>
            </w:pP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C6853A" w14:textId="77777777" w:rsidR="00EE397D" w:rsidRDefault="00EE397D" w:rsidP="00AD02E9">
            <w:pPr>
              <w:widowControl w:val="0"/>
              <w:spacing w:beforeLines="50" w:before="120"/>
              <w:rPr>
                <w:kern w:val="2"/>
                <w:lang w:eastAsia="zh-CN"/>
              </w:rPr>
            </w:pP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784FB" w14:textId="77777777" w:rsidR="00EE397D" w:rsidRDefault="00EE397D" w:rsidP="00AD02E9">
            <w:pPr>
              <w:widowControl w:val="0"/>
              <w:spacing w:beforeLines="50" w:before="120"/>
              <w:rPr>
                <w:kern w:val="2"/>
                <w:lang w:eastAsia="zh-CN"/>
              </w:rPr>
            </w:pP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02A33C" w14:textId="77777777" w:rsidR="00EE397D" w:rsidRDefault="00EE397D" w:rsidP="00AD02E9">
            <w:pPr>
              <w:widowControl w:val="0"/>
              <w:spacing w:beforeLines="50" w:before="120"/>
              <w:rPr>
                <w:kern w:val="2"/>
                <w:lang w:eastAsia="zh-CN"/>
              </w:rPr>
            </w:pP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rFonts w:hint="eastAsia"/>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1587" w14:textId="77777777" w:rsidR="00510FFB" w:rsidRDefault="00510FFB">
      <w:r>
        <w:separator/>
      </w:r>
    </w:p>
  </w:endnote>
  <w:endnote w:type="continuationSeparator" w:id="0">
    <w:p w14:paraId="078FCDE4" w14:textId="77777777" w:rsidR="00510FFB" w:rsidRDefault="00510FFB">
      <w:r>
        <w:continuationSeparator/>
      </w:r>
    </w:p>
  </w:endnote>
  <w:endnote w:type="continuationNotice" w:id="1">
    <w:p w14:paraId="7F3CC705" w14:textId="77777777" w:rsidR="00510FFB" w:rsidRDefault="00510F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8CDE" w14:textId="77777777" w:rsidR="00510FFB" w:rsidRDefault="00510FFB">
      <w:r>
        <w:separator/>
      </w:r>
    </w:p>
  </w:footnote>
  <w:footnote w:type="continuationSeparator" w:id="0">
    <w:p w14:paraId="60082B3D" w14:textId="77777777" w:rsidR="00510FFB" w:rsidRDefault="00510FFB">
      <w:r>
        <w:continuationSeparator/>
      </w:r>
    </w:p>
  </w:footnote>
  <w:footnote w:type="continuationNotice" w:id="1">
    <w:p w14:paraId="396554FB" w14:textId="77777777" w:rsidR="00510FFB" w:rsidRDefault="00510FF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2">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5">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A0EBD"/>
    <w:multiLevelType w:val="hybridMultilevel"/>
    <w:tmpl w:val="BE0A1E34"/>
    <w:lvl w:ilvl="0" w:tplc="500E7A00">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1">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5">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6">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7">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7">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5"/>
  </w:num>
  <w:num w:numId="2">
    <w:abstractNumId w:val="3"/>
  </w:num>
  <w:num w:numId="3">
    <w:abstractNumId w:val="24"/>
  </w:num>
  <w:num w:numId="4">
    <w:abstractNumId w:val="38"/>
  </w:num>
  <w:num w:numId="5">
    <w:abstractNumId w:val="25"/>
  </w:num>
  <w:num w:numId="6">
    <w:abstractNumId w:val="22"/>
  </w:num>
  <w:num w:numId="7">
    <w:abstractNumId w:val="4"/>
  </w:num>
  <w:num w:numId="8">
    <w:abstractNumId w:val="36"/>
  </w:num>
  <w:num w:numId="9">
    <w:abstractNumId w:val="17"/>
  </w:num>
  <w:num w:numId="10">
    <w:abstractNumId w:val="28"/>
  </w:num>
  <w:num w:numId="11">
    <w:abstractNumId w:val="23"/>
  </w:num>
  <w:num w:numId="12">
    <w:abstractNumId w:val="12"/>
  </w:num>
  <w:num w:numId="13">
    <w:abstractNumId w:val="1"/>
  </w:num>
  <w:num w:numId="14">
    <w:abstractNumId w:val="35"/>
  </w:num>
  <w:num w:numId="15">
    <w:abstractNumId w:val="0"/>
  </w:num>
  <w:num w:numId="16">
    <w:abstractNumId w:val="26"/>
  </w:num>
  <w:num w:numId="17">
    <w:abstractNumId w:val="27"/>
  </w:num>
  <w:num w:numId="18">
    <w:abstractNumId w:val="37"/>
  </w:num>
  <w:num w:numId="19">
    <w:abstractNumId w:val="13"/>
  </w:num>
  <w:num w:numId="20">
    <w:abstractNumId w:val="19"/>
  </w:num>
  <w:num w:numId="21">
    <w:abstractNumId w:val="14"/>
  </w:num>
  <w:num w:numId="22">
    <w:abstractNumId w:val="11"/>
  </w:num>
  <w:num w:numId="23">
    <w:abstractNumId w:val="18"/>
  </w:num>
  <w:num w:numId="24">
    <w:abstractNumId w:val="30"/>
  </w:num>
  <w:num w:numId="25">
    <w:abstractNumId w:val="21"/>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2"/>
  </w:num>
  <w:num w:numId="31">
    <w:abstractNumId w:val="9"/>
  </w:num>
  <w:num w:numId="32">
    <w:abstractNumId w:val="34"/>
  </w:num>
  <w:num w:numId="33">
    <w:abstractNumId w:val="31"/>
  </w:num>
  <w:num w:numId="34">
    <w:abstractNumId w:val="10"/>
  </w:num>
  <w:num w:numId="35">
    <w:abstractNumId w:val="6"/>
  </w:num>
  <w:num w:numId="36">
    <w:abstractNumId w:val="20"/>
  </w:num>
  <w:num w:numId="37">
    <w:abstractNumId w:val="32"/>
  </w:num>
  <w:num w:numId="38">
    <w:abstractNumId w:val="29"/>
  </w:num>
  <w:num w:numId="39">
    <w:abstractNumId w:val="8"/>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캡션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메모 텍스트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바탕"/>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목록 단락 Char"/>
    <w:aliases w:val="- Bullets Char,リスト段落 Char,列出段落 Char,?? ?? Char,????? Char,???? Char,Lista1 Char,列出段落1 Char,中等深浅网格 1 - 着色 21 Char,¥¡¡¡¡ì¬º¥¹¥È¶ÎÂä Char,ÁÐ³ö¶ÎÂä Char,列表段落1 Char,—ño’i—Ž Char,¥ê¥¹¥È¶ÎÂä Char,1st level - Bullet List Paragraph Char,목록단락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제목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제목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바탕"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제목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제목 5 Char"/>
    <w:aliases w:val="h5 Char,Heading5 Char,H5 Char"/>
    <w:basedOn w:val="a2"/>
    <w:link w:val="5"/>
    <w:rsid w:val="006D244C"/>
    <w:rPr>
      <w:rFonts w:ascii="Arial" w:hAnsi="Arial"/>
      <w:sz w:val="22"/>
      <w:lang w:val="en-GB"/>
    </w:rPr>
  </w:style>
  <w:style w:type="character" w:customStyle="1" w:styleId="6Char">
    <w:name w:val="제목 6 Char"/>
    <w:basedOn w:val="a2"/>
    <w:link w:val="6"/>
    <w:uiPriority w:val="9"/>
    <w:rsid w:val="006D244C"/>
    <w:rPr>
      <w:rFonts w:ascii="Arial" w:hAnsi="Arial"/>
      <w:lang w:val="en-GB"/>
    </w:rPr>
  </w:style>
  <w:style w:type="character" w:customStyle="1" w:styleId="7Char">
    <w:name w:val="제목 7 Char"/>
    <w:basedOn w:val="a2"/>
    <w:link w:val="7"/>
    <w:uiPriority w:val="9"/>
    <w:rsid w:val="006D244C"/>
    <w:rPr>
      <w:rFonts w:ascii="Arial" w:hAnsi="Arial"/>
      <w:lang w:val="en-GB"/>
    </w:rPr>
  </w:style>
  <w:style w:type="character" w:customStyle="1" w:styleId="8Char">
    <w:name w:val="제목 8 Char"/>
    <w:aliases w:val="Table Heading Char"/>
    <w:basedOn w:val="a2"/>
    <w:link w:val="8"/>
    <w:rsid w:val="006D244C"/>
    <w:rPr>
      <w:rFonts w:ascii="Arial" w:hAnsi="Arial"/>
      <w:sz w:val="36"/>
      <w:lang w:val="en-GB"/>
    </w:rPr>
  </w:style>
  <w:style w:type="character" w:customStyle="1" w:styleId="9Char">
    <w:name w:val="제목 9 Char"/>
    <w:aliases w:val="Figure Heading Char,FH Char"/>
    <w:basedOn w:val="a2"/>
    <w:link w:val="9"/>
    <w:uiPriority w:val="9"/>
    <w:rsid w:val="006D244C"/>
    <w:rPr>
      <w:rFonts w:ascii="Arial" w:hAnsi="Arial"/>
      <w:sz w:val="36"/>
      <w:lang w:val="en-GB"/>
    </w:rPr>
  </w:style>
  <w:style w:type="character" w:customStyle="1" w:styleId="Char2">
    <w:name w:val="바닥글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메모 주제 Char"/>
    <w:basedOn w:val="Char3"/>
    <w:link w:val="af"/>
    <w:uiPriority w:val="99"/>
    <w:rsid w:val="006D244C"/>
    <w:rPr>
      <w:rFonts w:ascii="Times New Roman" w:eastAsia="Times New Roman" w:hAnsi="Times New Roman"/>
      <w:b/>
      <w:bCs/>
      <w:lang w:val="en-GB"/>
    </w:rPr>
  </w:style>
  <w:style w:type="character" w:customStyle="1" w:styleId="Char6">
    <w:name w:val="풍선 도움말 텍스트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문서 구조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글자만 Char"/>
    <w:basedOn w:val="a2"/>
    <w:link w:val="afb"/>
    <w:uiPriority w:val="99"/>
    <w:rsid w:val="006D244C"/>
    <w:rPr>
      <w:rFonts w:ascii="Courier New" w:hAnsi="Courier New"/>
      <w:lang w:val="nb-NO" w:eastAsia="en-GB"/>
    </w:rPr>
  </w:style>
  <w:style w:type="character" w:customStyle="1" w:styleId="2Char1">
    <w:name w:val="본문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본문 들여쓰기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본문 들여쓰기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날짜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바탕"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목록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목록 2 Char"/>
    <w:link w:val="24"/>
    <w:rsid w:val="006D244C"/>
    <w:rPr>
      <w:rFonts w:ascii="Times New Roman" w:hAnsi="Times New Roman"/>
      <w:lang w:val="en-GB"/>
    </w:rPr>
  </w:style>
  <w:style w:type="character" w:customStyle="1" w:styleId="3Char0">
    <w:name w:val="목록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sid w:val="006D244C"/>
    <w:rPr>
      <w:rFonts w:ascii="Times" w:eastAsia="바탕" w:hAnsi="Times"/>
    </w:rPr>
  </w:style>
  <w:style w:type="character" w:customStyle="1" w:styleId="RAN1bullet1Char">
    <w:name w:val="RAN1 bullet1 Char"/>
    <w:link w:val="RAN1bullet1"/>
    <w:rsid w:val="006D244C"/>
    <w:rPr>
      <w:rFonts w:ascii="Times" w:eastAsia="바탕"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rsid w:val="006D244C"/>
    <w:rPr>
      <w:rFonts w:ascii="Times" w:eastAsia="바탕"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바탕"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바탕"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6D244C"/>
    <w:rPr>
      <w:rFonts w:ascii="Times New Roman" w:eastAsia="맑은 고딕" w:hAnsi="Times New Roman" w:cs="바탕"/>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rsid w:val="006D244C"/>
    <w:rPr>
      <w:rFonts w:ascii="Times" w:eastAsia="바탕"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sid w:val="006D244C"/>
    <w:rPr>
      <w:rFonts w:ascii="Times New Roman" w:eastAsia="맑은 고딕"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양식의 맨 위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양식의 맨 아래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본문 들여쓰기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제목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
    <w:name w:val="样式 正文 Char"/>
    <w:basedOn w:val="a2"/>
    <w:link w:val="aff7"/>
    <w:rsid w:val="006D244C"/>
    <w:rPr>
      <w:rFonts w:ascii="Times New Roman" w:hAnsi="Times New Roman" w:cs="SimSun"/>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character" w:customStyle="1" w:styleId="HTMLChar">
    <w:name w:val="미리 서식이 지정된 HTML Char"/>
    <w:basedOn w:val="a2"/>
    <w:link w:val="HTML"/>
    <w:rsid w:val="006D244C"/>
    <w:rPr>
      <w:rFonts w:ascii="Courier New" w:eastAsia="바탕"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SimSun"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rsid w:val="006D244C"/>
    <w:rPr>
      <w:rFonts w:ascii="Times New Roman" w:eastAsia="맑은 고딕"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본문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SimSun"/>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바탕"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바탕"/>
    </w:rPr>
  </w:style>
  <w:style w:type="character" w:customStyle="1" w:styleId="0MaintextChar">
    <w:name w:val="0 Main text Char"/>
    <w:basedOn w:val="maintextChar"/>
    <w:link w:val="0Maintext"/>
    <w:rsid w:val="006D244C"/>
    <w:rPr>
      <w:rFonts w:ascii="Times New Roman" w:eastAsia="맑은 고딕" w:hAnsi="Times New Roman" w:cs="바탕"/>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바탕"/>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94A983-8F61-4006-9D90-043A9D2E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188</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양석철/책임연구원/미래기술센터 C&amp;M표준(연)5G무선통신표준Task(suckchel.yang@lge.com)</cp:lastModifiedBy>
  <cp:revision>4</cp:revision>
  <cp:lastPrinted>2016-06-22T11:35:00Z</cp:lastPrinted>
  <dcterms:created xsi:type="dcterms:W3CDTF">2021-09-06T06:05:00Z</dcterms:created>
  <dcterms:modified xsi:type="dcterms:W3CDTF">2021-09-07T07:36:00Z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ies>
</file>