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FB9BC02" w14:textId="37DE5C3C" w:rsidR="00933663" w:rsidRPr="00F265F4" w:rsidRDefault="00DB6EC0" w:rsidP="00933663">
      <w:pPr>
        <w:rPr>
          <w:rFonts w:ascii="Arial" w:hAnsi="Arial"/>
          <w:color w:val="FF0000"/>
          <w:sz w:val="32"/>
        </w:rPr>
      </w:pPr>
      <w:r w:rsidRPr="00DB6EC0">
        <w:rPr>
          <w:rFonts w:ascii="Arial" w:hAnsi="Arial"/>
          <w:color w:val="FF0000"/>
          <w:sz w:val="32"/>
        </w:rPr>
        <w:t>VOID</w:t>
      </w:r>
    </w:p>
    <w:p w14:paraId="60C5D960" w14:textId="67C64CB4" w:rsidR="007E55E8" w:rsidRPr="00DB6EC0" w:rsidRDefault="00AB749C" w:rsidP="00933663">
      <w:pPr>
        <w:pStyle w:val="Heading1"/>
        <w:numPr>
          <w:ilvl w:val="0"/>
          <w:numId w:val="26"/>
        </w:numPr>
        <w:rPr>
          <w:sz w:val="32"/>
          <w:szCs w:val="18"/>
        </w:rPr>
      </w:pPr>
      <w:r w:rsidRPr="00DB6EC0">
        <w:rPr>
          <w:sz w:val="32"/>
          <w:szCs w:val="18"/>
        </w:rPr>
        <w:t>CSI enhancements (AI 8.3.1.2)</w:t>
      </w:r>
    </w:p>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7B112192" w14:textId="67598650" w:rsidR="00B653F2" w:rsidRDefault="008A413D" w:rsidP="002150A2">
      <w:pPr>
        <w:pStyle w:val="Heading1"/>
        <w:numPr>
          <w:ilvl w:val="0"/>
          <w:numId w:val="28"/>
        </w:numPr>
        <w:rPr>
          <w:sz w:val="32"/>
        </w:rPr>
      </w:pPr>
      <w:r>
        <w:rPr>
          <w:sz w:val="32"/>
        </w:rPr>
        <w:lastRenderedPageBreak/>
        <w:t>NR-U</w:t>
      </w:r>
      <w:r w:rsidR="00B653F2">
        <w:rPr>
          <w:sz w:val="32"/>
        </w:rPr>
        <w:t xml:space="preserve"> enhancements (AI 8.3.2)</w:t>
      </w:r>
    </w:p>
    <w:p w14:paraId="7A51F12B" w14:textId="2BBAD014" w:rsidR="008F6758" w:rsidRDefault="0086376B" w:rsidP="0086376B">
      <w:pPr>
        <w:keepNext/>
        <w:keepLines/>
        <w:numPr>
          <w:ilvl w:val="1"/>
          <w:numId w:val="46"/>
        </w:numPr>
        <w:spacing w:before="180"/>
        <w:outlineLvl w:val="1"/>
        <w:rPr>
          <w:rFonts w:ascii="Arial" w:hAnsi="Arial"/>
          <w:sz w:val="32"/>
        </w:rPr>
      </w:pPr>
      <w:r>
        <w:rPr>
          <w:rFonts w:ascii="Arial" w:hAnsi="Arial"/>
          <w:sz w:val="32"/>
        </w:rPr>
        <w:t>Channel occupancy initiated by UE</w:t>
      </w:r>
    </w:p>
    <w:p w14:paraId="38CD5C25" w14:textId="1A12AD34" w:rsidR="0086376B" w:rsidRDefault="0086376B" w:rsidP="0086376B">
      <w:pPr>
        <w:rPr>
          <w:lang w:eastAsia="sv-SE"/>
        </w:rPr>
      </w:pPr>
      <w:r w:rsidRPr="00154AB2">
        <w:rPr>
          <w:lang w:eastAsia="sv-SE"/>
        </w:rPr>
        <w:t>The RRC parameter ‘</w:t>
      </w:r>
      <w:proofErr w:type="spellStart"/>
      <w:r w:rsidRPr="00154AB2">
        <w:rPr>
          <w:lang w:eastAsia="sv-SE"/>
        </w:rPr>
        <w:t>ue-SemiStaticChannelAccessConfig</w:t>
      </w:r>
      <w:proofErr w:type="spellEnd"/>
      <w:r w:rsidRPr="00154AB2">
        <w:rPr>
          <w:lang w:eastAsia="sv-SE"/>
        </w:rPr>
        <w:t>’ that includes periodicity and offset of periodic channel occupancy initiated by UE is introduced to enable UE-initiated COT inRel-17</w:t>
      </w:r>
      <w:r>
        <w:rPr>
          <w:lang w:eastAsia="sv-SE"/>
        </w:rPr>
        <w:t>.</w:t>
      </w:r>
      <w:r w:rsidR="00FF73B2">
        <w:rPr>
          <w:lang w:eastAsia="sv-SE"/>
        </w:rPr>
        <w:t xml:space="preserve"> The parameter is UE-specific and configured per cell. </w:t>
      </w:r>
      <w:r w:rsidR="00D878D4">
        <w:rPr>
          <w:lang w:eastAsia="sv-SE"/>
        </w:rPr>
        <w:t xml:space="preserve">More details are provided in the Excel sheet where the main descriptions are </w:t>
      </w:r>
      <w:r w:rsidR="00731793">
        <w:rPr>
          <w:lang w:eastAsia="sv-SE"/>
        </w:rPr>
        <w:t>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2"/>
        <w:gridCol w:w="4669"/>
        <w:gridCol w:w="2082"/>
      </w:tblGrid>
      <w:tr w:rsidR="00137315" w:rsidRPr="005D48A2" w14:paraId="600E1513" w14:textId="77777777" w:rsidTr="00012BB5">
        <w:trPr>
          <w:trHeight w:val="752"/>
        </w:trPr>
        <w:tc>
          <w:tcPr>
            <w:tcW w:w="2772" w:type="dxa"/>
            <w:shd w:val="clear" w:color="000000" w:fill="00B0F0"/>
            <w:vAlign w:val="center"/>
            <w:hideMark/>
          </w:tcPr>
          <w:p w14:paraId="78549C68" w14:textId="77777777" w:rsidR="00137315" w:rsidRPr="005D48A2" w:rsidRDefault="00137315" w:rsidP="005D48A2">
            <w:pPr>
              <w:overflowPunct/>
              <w:autoSpaceDE/>
              <w:autoSpaceDN/>
              <w:adjustRightInd/>
              <w:spacing w:after="0"/>
              <w:textAlignment w:val="auto"/>
              <w:rPr>
                <w:rFonts w:ascii="Arial" w:eastAsia="Times New Roman" w:hAnsi="Arial" w:cs="Arial"/>
                <w:b/>
                <w:bCs/>
                <w:color w:val="FFFFFF"/>
                <w:lang w:val="en-US" w:eastAsia="sv-SE"/>
              </w:rPr>
            </w:pPr>
            <w:r w:rsidRPr="005D48A2">
              <w:rPr>
                <w:rFonts w:ascii="Arial" w:eastAsia="Times New Roman" w:hAnsi="Arial" w:cs="Arial"/>
                <w:b/>
                <w:bCs/>
                <w:color w:val="FFFFFF"/>
                <w:lang w:val="en-US" w:eastAsia="sv-SE"/>
              </w:rPr>
              <w:t>Parameter name in the spec</w:t>
            </w:r>
          </w:p>
        </w:tc>
        <w:tc>
          <w:tcPr>
            <w:tcW w:w="4669" w:type="dxa"/>
            <w:shd w:val="clear" w:color="000000" w:fill="00B0F0"/>
            <w:vAlign w:val="center"/>
            <w:hideMark/>
          </w:tcPr>
          <w:p w14:paraId="3E339471" w14:textId="77777777" w:rsidR="00137315" w:rsidRPr="005D48A2" w:rsidRDefault="00137315" w:rsidP="005D48A2">
            <w:pPr>
              <w:overflowPunct/>
              <w:autoSpaceDE/>
              <w:autoSpaceDN/>
              <w:adjustRightInd/>
              <w:spacing w:after="0"/>
              <w:textAlignment w:val="auto"/>
              <w:rPr>
                <w:rFonts w:ascii="Arial" w:eastAsia="Times New Roman" w:hAnsi="Arial" w:cs="Arial"/>
                <w:b/>
                <w:bCs/>
                <w:color w:val="FFFFFF"/>
                <w:lang w:val="sv-SE" w:eastAsia="sv-SE"/>
              </w:rPr>
            </w:pPr>
            <w:r w:rsidRPr="005D48A2">
              <w:rPr>
                <w:rFonts w:ascii="Arial" w:eastAsia="Times New Roman" w:hAnsi="Arial" w:cs="Arial"/>
                <w:b/>
                <w:bCs/>
                <w:color w:val="FFFFFF"/>
                <w:lang w:val="sv-SE" w:eastAsia="sv-SE"/>
              </w:rPr>
              <w:t>Description</w:t>
            </w:r>
          </w:p>
        </w:tc>
        <w:tc>
          <w:tcPr>
            <w:tcW w:w="2082" w:type="dxa"/>
            <w:shd w:val="clear" w:color="000000" w:fill="00B0F0"/>
            <w:vAlign w:val="center"/>
            <w:hideMark/>
          </w:tcPr>
          <w:p w14:paraId="5BD2902F" w14:textId="77777777" w:rsidR="00137315" w:rsidRPr="005D48A2" w:rsidRDefault="00137315" w:rsidP="005D48A2">
            <w:pPr>
              <w:overflowPunct/>
              <w:autoSpaceDE/>
              <w:autoSpaceDN/>
              <w:adjustRightInd/>
              <w:spacing w:after="0"/>
              <w:textAlignment w:val="auto"/>
              <w:rPr>
                <w:rFonts w:ascii="Arial" w:eastAsia="Times New Roman" w:hAnsi="Arial" w:cs="Arial"/>
                <w:b/>
                <w:bCs/>
                <w:color w:val="FFFFFF"/>
                <w:lang w:val="sv-SE" w:eastAsia="sv-SE"/>
              </w:rPr>
            </w:pPr>
            <w:r w:rsidRPr="005D48A2">
              <w:rPr>
                <w:rFonts w:ascii="Arial" w:eastAsia="Times New Roman" w:hAnsi="Arial" w:cs="Arial"/>
                <w:b/>
                <w:bCs/>
                <w:color w:val="FFFFFF"/>
                <w:lang w:val="sv-SE" w:eastAsia="sv-SE"/>
              </w:rPr>
              <w:t>Value range</w:t>
            </w:r>
          </w:p>
        </w:tc>
      </w:tr>
      <w:tr w:rsidR="00137315" w:rsidRPr="005D48A2" w14:paraId="56F9218B" w14:textId="77777777" w:rsidTr="00012BB5">
        <w:trPr>
          <w:trHeight w:val="590"/>
        </w:trPr>
        <w:tc>
          <w:tcPr>
            <w:tcW w:w="2772" w:type="dxa"/>
            <w:shd w:val="clear" w:color="auto" w:fill="auto"/>
            <w:vAlign w:val="center"/>
            <w:hideMark/>
          </w:tcPr>
          <w:p w14:paraId="174B53F8"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ue-SemiStaticChannelAccessConfig</w:t>
            </w:r>
          </w:p>
        </w:tc>
        <w:tc>
          <w:tcPr>
            <w:tcW w:w="4669" w:type="dxa"/>
            <w:shd w:val="clear" w:color="auto" w:fill="auto"/>
          </w:tcPr>
          <w:p w14:paraId="6FBE5139" w14:textId="77777777" w:rsidR="00012BB5" w:rsidRPr="00012BB5" w:rsidRDefault="00012BB5" w:rsidP="00012BB5">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5060A9ED" w14:textId="591FBD43"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hideMark/>
          </w:tcPr>
          <w:p w14:paraId="2763CBDB"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(ue-Period, ue-Offset)</w:t>
            </w:r>
          </w:p>
        </w:tc>
      </w:tr>
      <w:tr w:rsidR="00137315" w:rsidRPr="005D48A2" w14:paraId="6473024D" w14:textId="77777777" w:rsidTr="00012BB5">
        <w:trPr>
          <w:trHeight w:val="590"/>
        </w:trPr>
        <w:tc>
          <w:tcPr>
            <w:tcW w:w="2772" w:type="dxa"/>
            <w:shd w:val="clear" w:color="auto" w:fill="auto"/>
            <w:noWrap/>
            <w:vAlign w:val="center"/>
            <w:hideMark/>
          </w:tcPr>
          <w:p w14:paraId="2E88C736"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ue-Period</w:t>
            </w:r>
          </w:p>
        </w:tc>
        <w:tc>
          <w:tcPr>
            <w:tcW w:w="4669" w:type="dxa"/>
            <w:shd w:val="clear" w:color="auto" w:fill="auto"/>
          </w:tcPr>
          <w:p w14:paraId="28C2A526" w14:textId="77777777" w:rsidR="00012BB5" w:rsidRPr="00012BB5" w:rsidRDefault="00012BB5" w:rsidP="00012BB5">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 xml:space="preserve">-Period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spellStart"/>
            <w:r>
              <w:rPr>
                <w:rFonts w:ascii="Arial" w:hAnsi="Arial" w:cs="Arial"/>
                <w:sz w:val="18"/>
                <w:szCs w:val="18"/>
              </w:rPr>
              <w:t>ue</w:t>
            </w:r>
            <w:proofErr w:type="spellEnd"/>
            <w:r>
              <w:rPr>
                <w:rFonts w:ascii="Arial" w:hAnsi="Arial" w:cs="Arial"/>
                <w:sz w:val="18"/>
                <w:szCs w:val="18"/>
              </w:rPr>
              <w:t xml:space="preserv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w:t>
            </w:r>
            <w:proofErr w:type="spellStart"/>
            <w:r>
              <w:rPr>
                <w:rFonts w:ascii="Arial" w:hAnsi="Arial" w:cs="Arial"/>
                <w:sz w:val="18"/>
                <w:szCs w:val="18"/>
              </w:rPr>
              <w:t>confiugred</w:t>
            </w:r>
            <w:proofErr w:type="spellEnd"/>
            <w:r>
              <w:rPr>
                <w:rFonts w:ascii="Arial" w:hAnsi="Arial" w:cs="Arial"/>
                <w:sz w:val="18"/>
                <w:szCs w:val="18"/>
              </w:rPr>
              <w:t xml:space="preserve"> with a value that is the same, or integer multiple of, or inter factor of the value </w:t>
            </w:r>
            <w:proofErr w:type="spellStart"/>
            <w:r>
              <w:rPr>
                <w:rFonts w:ascii="Arial" w:hAnsi="Arial" w:cs="Arial"/>
                <w:sz w:val="18"/>
                <w:szCs w:val="18"/>
              </w:rPr>
              <w:t>configred</w:t>
            </w:r>
            <w:proofErr w:type="spellEnd"/>
            <w:r>
              <w:rPr>
                <w:rFonts w:ascii="Arial" w:hAnsi="Arial" w:cs="Arial"/>
                <w:sz w:val="18"/>
                <w:szCs w:val="18"/>
              </w:rPr>
              <w:t xml:space="preserve">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0F7A4FB6" w14:textId="36CFCE06" w:rsidR="00137315" w:rsidRPr="005D48A2" w:rsidRDefault="00137315" w:rsidP="005D48A2">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hideMark/>
          </w:tcPr>
          <w:p w14:paraId="6250BF2C"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en-US" w:eastAsia="sv-SE"/>
              </w:rPr>
            </w:pPr>
            <w:r w:rsidRPr="005D48A2">
              <w:rPr>
                <w:rFonts w:ascii="Arial" w:eastAsia="Times New Roman" w:hAnsi="Arial" w:cs="Arial"/>
                <w:color w:val="000000"/>
                <w:sz w:val="18"/>
                <w:szCs w:val="18"/>
                <w:lang w:val="en-US" w:eastAsia="sv-SE"/>
              </w:rPr>
              <w:t>{1ms, 2ms, 2.5ms, 4ms, 5ms, 10ms}</w:t>
            </w:r>
          </w:p>
        </w:tc>
      </w:tr>
      <w:tr w:rsidR="00137315" w:rsidRPr="005D48A2" w14:paraId="142D3128" w14:textId="77777777" w:rsidTr="00012BB5">
        <w:trPr>
          <w:trHeight w:val="590"/>
        </w:trPr>
        <w:tc>
          <w:tcPr>
            <w:tcW w:w="2772" w:type="dxa"/>
            <w:shd w:val="clear" w:color="auto" w:fill="auto"/>
            <w:noWrap/>
            <w:vAlign w:val="center"/>
            <w:hideMark/>
          </w:tcPr>
          <w:p w14:paraId="2B2C2E86"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ue-Offset</w:t>
            </w:r>
          </w:p>
        </w:tc>
        <w:tc>
          <w:tcPr>
            <w:tcW w:w="4669" w:type="dxa"/>
            <w:shd w:val="clear" w:color="auto" w:fill="auto"/>
          </w:tcPr>
          <w:p w14:paraId="4F3C8979" w14:textId="77777777" w:rsidR="00012BB5" w:rsidRPr="00012BB5" w:rsidRDefault="00012BB5" w:rsidP="00012BB5">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-Offset value is 279, 559 and 1119 symbols for 15, 30 and 60 kHz subcarrier spacing, respectively.</w:t>
            </w:r>
          </w:p>
          <w:p w14:paraId="573E2DE1" w14:textId="68C31CCB" w:rsidR="00E82C19" w:rsidRPr="005D48A2" w:rsidRDefault="00E82C19" w:rsidP="005D48A2">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noWrap/>
            <w:vAlign w:val="center"/>
            <w:hideMark/>
          </w:tcPr>
          <w:p w14:paraId="0772F0CD"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INTEGER(0..1119)</w:t>
            </w:r>
          </w:p>
        </w:tc>
      </w:tr>
    </w:tbl>
    <w:p w14:paraId="0B93C9AB" w14:textId="7C247C90" w:rsidR="00DB6EC0" w:rsidRDefault="00DB6EC0" w:rsidP="0086376B">
      <w:pPr>
        <w:rPr>
          <w:lang w:eastAsia="sv-SE"/>
        </w:rPr>
      </w:pPr>
    </w:p>
    <w:p w14:paraId="45F51565" w14:textId="77777777" w:rsidR="00F24E2B" w:rsidRPr="002D1C40" w:rsidRDefault="00F24E2B" w:rsidP="0086376B">
      <w:pPr>
        <w:rPr>
          <w:rFonts w:ascii="Arial" w:hAnsi="Arial"/>
          <w:sz w:val="32"/>
        </w:rPr>
      </w:pPr>
    </w:p>
    <w:p w14:paraId="349DEF77" w14:textId="77777777" w:rsidR="008F6758" w:rsidRDefault="008F6758" w:rsidP="0086376B">
      <w:pPr>
        <w:pStyle w:val="Heading3"/>
        <w:numPr>
          <w:ilvl w:val="2"/>
          <w:numId w:val="46"/>
        </w:numPr>
      </w:pPr>
      <w:r>
        <w:t>1</w:t>
      </w:r>
      <w:r w:rsidRPr="004037BF">
        <w:t>st</w:t>
      </w:r>
      <w:r>
        <w:t xml:space="preserve"> Round</w:t>
      </w:r>
    </w:p>
    <w:p w14:paraId="7C979584" w14:textId="0D7D3890" w:rsidR="00DB6EC0" w:rsidRPr="00DB6EC0" w:rsidRDefault="00DB6EC0" w:rsidP="00DB6EC0">
      <w:pPr>
        <w:rPr>
          <w:rFonts w:ascii="Segoe UI" w:eastAsia="Times New Roman" w:hAnsi="Segoe UI" w:cs="Segoe UI"/>
          <w:sz w:val="18"/>
          <w:szCs w:val="18"/>
          <w:lang w:val="en-US" w:eastAsia="sv-SE"/>
        </w:rPr>
      </w:pPr>
      <w:r w:rsidRPr="00DB6EC0">
        <w:rPr>
          <w:rFonts w:eastAsia="Times New Roman"/>
          <w:lang w:val="en-US" w:eastAsia="sv-SE"/>
        </w:rPr>
        <w:t>Please review the description of the </w:t>
      </w:r>
      <w:r w:rsidRPr="00DB6EC0">
        <w:rPr>
          <w:rFonts w:eastAsia="Times New Roman"/>
          <w:lang w:eastAsia="sv-SE"/>
        </w:rPr>
        <w:t>RRC parameter ‘</w:t>
      </w:r>
      <w:proofErr w:type="spellStart"/>
      <w:r w:rsidRPr="00DB6EC0">
        <w:rPr>
          <w:rFonts w:eastAsia="Times New Roman"/>
          <w:lang w:eastAsia="sv-SE"/>
        </w:rPr>
        <w:t>ue-SemiStaticChannelAccessConfig</w:t>
      </w:r>
      <w:proofErr w:type="spellEnd"/>
      <w:r w:rsidRPr="00DB6EC0">
        <w:rPr>
          <w:rFonts w:eastAsia="Times New Roman"/>
          <w:lang w:eastAsia="sv-SE"/>
        </w:rPr>
        <w:t>’ in the </w:t>
      </w:r>
      <w:r w:rsidR="00731793">
        <w:rPr>
          <w:rFonts w:eastAsia="Times New Roman"/>
          <w:lang w:eastAsia="sv-SE"/>
        </w:rPr>
        <w:t>Excel sheet</w:t>
      </w:r>
      <w:r w:rsidRPr="00DB6EC0">
        <w:rPr>
          <w:rFonts w:eastAsia="Times New Roman"/>
          <w:lang w:eastAsia="sv-SE"/>
        </w:rPr>
        <w:t> and provide your comments, if any in the table below.</w:t>
      </w:r>
      <w:r w:rsidRPr="00DB6EC0">
        <w:rPr>
          <w:rFonts w:eastAsia="Times New Roman"/>
          <w:lang w:val="en-US" w:eastAsia="sv-SE"/>
        </w:rPr>
        <w:t> </w:t>
      </w:r>
    </w:p>
    <w:p w14:paraId="7EE201F9" w14:textId="4A4D3040" w:rsidR="00154AB2" w:rsidRPr="00154AB2" w:rsidRDefault="00154AB2" w:rsidP="00154AB2">
      <w:pPr>
        <w:overflowPunct/>
        <w:autoSpaceDE/>
        <w:autoSpaceDN/>
        <w:adjustRightInd/>
        <w:spacing w:after="0"/>
        <w:rPr>
          <w:rFonts w:ascii="Segoe UI" w:eastAsia="Times New Roman" w:hAnsi="Segoe UI" w:cs="Segoe UI"/>
          <w:sz w:val="18"/>
          <w:szCs w:val="18"/>
          <w:lang w:val="en-US" w:eastAsia="sv-SE"/>
        </w:rPr>
      </w:pPr>
      <w:r w:rsidRPr="00154AB2">
        <w:rPr>
          <w:rFonts w:eastAsia="Times New Roman"/>
          <w:lang w:val="en-US" w:eastAsia="sv-SE"/>
        </w:rPr>
        <w:t> </w:t>
      </w:r>
    </w:p>
    <w:p w14:paraId="3F634784" w14:textId="77777777" w:rsidR="00D545DF" w:rsidRPr="00731793" w:rsidRDefault="00154AB2" w:rsidP="00154AB2">
      <w:pPr>
        <w:overflowPunct/>
        <w:autoSpaceDE/>
        <w:autoSpaceDN/>
        <w:adjustRightInd/>
        <w:spacing w:after="0"/>
        <w:rPr>
          <w:rFonts w:ascii="Segoe UI" w:eastAsia="Times New Roman" w:hAnsi="Segoe UI" w:cs="Segoe UI"/>
          <w:sz w:val="18"/>
          <w:szCs w:val="18"/>
          <w:lang w:val="en-US" w:eastAsia="sv-SE"/>
        </w:rPr>
      </w:pPr>
      <w:r w:rsidRPr="00154AB2">
        <w:rPr>
          <w:rFonts w:ascii="Arial" w:eastAsia="Times New Roman" w:hAnsi="Arial" w:cs="Arial"/>
          <w:sz w:val="32"/>
          <w:szCs w:val="32"/>
          <w:lang w:val="en-US" w:eastAsia="sv-SE"/>
        </w:rPr>
        <w:t> </w:t>
      </w:r>
    </w:p>
    <w:tbl>
      <w:tblPr>
        <w:tblStyle w:val="TableGrid"/>
        <w:tblW w:w="9634" w:type="dxa"/>
        <w:tblLook w:val="04A0" w:firstRow="1" w:lastRow="0" w:firstColumn="1" w:lastColumn="0" w:noHBand="0" w:noVBand="1"/>
      </w:tblPr>
      <w:tblGrid>
        <w:gridCol w:w="1529"/>
        <w:gridCol w:w="8105"/>
      </w:tblGrid>
      <w:tr w:rsidR="00D545DF" w14:paraId="71802780" w14:textId="77777777" w:rsidTr="005E025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EBB7BB4" w14:textId="77777777" w:rsidR="00D545DF" w:rsidRDefault="00D545DF" w:rsidP="005E025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9857FAE" w14:textId="77777777" w:rsidR="00D545DF" w:rsidRDefault="00D545DF" w:rsidP="005E0257">
            <w:pPr>
              <w:spacing w:beforeLines="50" w:before="120"/>
              <w:rPr>
                <w:i/>
                <w:kern w:val="2"/>
                <w:lang w:eastAsia="zh-CN"/>
              </w:rPr>
            </w:pPr>
            <w:r>
              <w:rPr>
                <w:i/>
                <w:kern w:val="2"/>
                <w:lang w:eastAsia="zh-CN"/>
              </w:rPr>
              <w:t>Comments</w:t>
            </w:r>
          </w:p>
        </w:tc>
      </w:tr>
      <w:tr w:rsidR="00D545DF" w14:paraId="793FA330" w14:textId="77777777" w:rsidTr="005E0257">
        <w:tc>
          <w:tcPr>
            <w:tcW w:w="1529" w:type="dxa"/>
            <w:tcBorders>
              <w:top w:val="single" w:sz="4" w:space="0" w:color="auto"/>
              <w:left w:val="single" w:sz="4" w:space="0" w:color="auto"/>
              <w:bottom w:val="single" w:sz="4" w:space="0" w:color="auto"/>
              <w:right w:val="single" w:sz="4" w:space="0" w:color="auto"/>
            </w:tcBorders>
          </w:tcPr>
          <w:p w14:paraId="5C784BEA" w14:textId="77777777" w:rsidR="00D545DF" w:rsidRPr="00310953" w:rsidRDefault="00D545DF" w:rsidP="005E0257">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E0537F0" w14:textId="77777777" w:rsidR="00D545DF" w:rsidRPr="00652D37" w:rsidRDefault="00D545DF" w:rsidP="005E0257">
            <w:pPr>
              <w:spacing w:beforeLines="50" w:before="120"/>
              <w:rPr>
                <w:rFonts w:eastAsia="MS Mincho"/>
                <w:iCs/>
                <w:kern w:val="2"/>
                <w:lang w:eastAsia="ja-JP"/>
              </w:rPr>
            </w:pPr>
          </w:p>
        </w:tc>
      </w:tr>
      <w:tr w:rsidR="00D545DF" w14:paraId="0422D11B" w14:textId="77777777" w:rsidTr="005E0257">
        <w:tc>
          <w:tcPr>
            <w:tcW w:w="1529" w:type="dxa"/>
            <w:tcBorders>
              <w:top w:val="single" w:sz="4" w:space="0" w:color="auto"/>
              <w:left w:val="single" w:sz="4" w:space="0" w:color="auto"/>
              <w:bottom w:val="single" w:sz="4" w:space="0" w:color="auto"/>
              <w:right w:val="single" w:sz="4" w:space="0" w:color="auto"/>
            </w:tcBorders>
          </w:tcPr>
          <w:p w14:paraId="196460B3"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DE7B09" w14:textId="77777777" w:rsidR="00D545DF" w:rsidRDefault="00D545DF" w:rsidP="005E0257">
            <w:pPr>
              <w:widowControl w:val="0"/>
              <w:spacing w:beforeLines="50" w:before="120"/>
              <w:rPr>
                <w:kern w:val="2"/>
                <w:lang w:eastAsia="zh-CN"/>
              </w:rPr>
            </w:pPr>
          </w:p>
        </w:tc>
      </w:tr>
      <w:tr w:rsidR="00D545DF" w14:paraId="6BEA681E" w14:textId="77777777" w:rsidTr="005E0257">
        <w:tc>
          <w:tcPr>
            <w:tcW w:w="1529" w:type="dxa"/>
            <w:tcBorders>
              <w:top w:val="single" w:sz="4" w:space="0" w:color="auto"/>
              <w:left w:val="single" w:sz="4" w:space="0" w:color="auto"/>
              <w:bottom w:val="single" w:sz="4" w:space="0" w:color="auto"/>
              <w:right w:val="single" w:sz="4" w:space="0" w:color="auto"/>
            </w:tcBorders>
          </w:tcPr>
          <w:p w14:paraId="46BC9B33"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9ADBAD" w14:textId="77777777" w:rsidR="00D545DF" w:rsidRDefault="00D545DF" w:rsidP="005E0257">
            <w:pPr>
              <w:widowControl w:val="0"/>
              <w:spacing w:beforeLines="50" w:before="120"/>
              <w:rPr>
                <w:kern w:val="2"/>
                <w:lang w:eastAsia="zh-CN"/>
              </w:rPr>
            </w:pPr>
          </w:p>
        </w:tc>
      </w:tr>
      <w:tr w:rsidR="00D545DF" w14:paraId="101779EC" w14:textId="77777777" w:rsidTr="005E0257">
        <w:tc>
          <w:tcPr>
            <w:tcW w:w="1529" w:type="dxa"/>
            <w:tcBorders>
              <w:top w:val="single" w:sz="4" w:space="0" w:color="auto"/>
              <w:left w:val="single" w:sz="4" w:space="0" w:color="auto"/>
              <w:bottom w:val="single" w:sz="4" w:space="0" w:color="auto"/>
              <w:right w:val="single" w:sz="4" w:space="0" w:color="auto"/>
            </w:tcBorders>
          </w:tcPr>
          <w:p w14:paraId="1AA932CC"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0E852A" w14:textId="77777777" w:rsidR="00D545DF" w:rsidRDefault="00D545DF" w:rsidP="005E0257">
            <w:pPr>
              <w:widowControl w:val="0"/>
              <w:spacing w:beforeLines="50" w:before="120"/>
              <w:rPr>
                <w:kern w:val="2"/>
                <w:lang w:eastAsia="zh-CN"/>
              </w:rPr>
            </w:pPr>
          </w:p>
        </w:tc>
      </w:tr>
      <w:tr w:rsidR="00D545DF" w:rsidRPr="00E16292" w14:paraId="25B50C6E" w14:textId="77777777" w:rsidTr="005E0257">
        <w:tc>
          <w:tcPr>
            <w:tcW w:w="1529" w:type="dxa"/>
            <w:tcBorders>
              <w:top w:val="single" w:sz="4" w:space="0" w:color="auto"/>
              <w:left w:val="single" w:sz="4" w:space="0" w:color="auto"/>
              <w:bottom w:val="single" w:sz="4" w:space="0" w:color="auto"/>
              <w:right w:val="single" w:sz="4" w:space="0" w:color="auto"/>
            </w:tcBorders>
          </w:tcPr>
          <w:p w14:paraId="6FAD0828"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1ED3ED" w14:textId="77777777" w:rsidR="00D545DF" w:rsidRDefault="00D545DF" w:rsidP="005E0257">
            <w:pPr>
              <w:widowControl w:val="0"/>
              <w:spacing w:beforeLines="50" w:before="120"/>
              <w:rPr>
                <w:kern w:val="2"/>
                <w:lang w:eastAsia="zh-CN"/>
              </w:rPr>
            </w:pPr>
          </w:p>
        </w:tc>
      </w:tr>
      <w:tr w:rsidR="00D545DF" w:rsidRPr="00E16292" w14:paraId="1A312891" w14:textId="77777777" w:rsidTr="005E0257">
        <w:tc>
          <w:tcPr>
            <w:tcW w:w="1529" w:type="dxa"/>
            <w:tcBorders>
              <w:top w:val="single" w:sz="4" w:space="0" w:color="auto"/>
              <w:left w:val="single" w:sz="4" w:space="0" w:color="auto"/>
              <w:bottom w:val="single" w:sz="4" w:space="0" w:color="auto"/>
              <w:right w:val="single" w:sz="4" w:space="0" w:color="auto"/>
            </w:tcBorders>
          </w:tcPr>
          <w:p w14:paraId="2DAAAFEE"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2BFA62" w14:textId="77777777" w:rsidR="00D545DF" w:rsidRPr="00B4062A" w:rsidRDefault="00D545DF" w:rsidP="005E0257">
            <w:pPr>
              <w:jc w:val="both"/>
              <w:rPr>
                <w:b/>
                <w:bCs/>
                <w:i/>
                <w:iCs/>
              </w:rPr>
            </w:pPr>
          </w:p>
        </w:tc>
      </w:tr>
    </w:tbl>
    <w:p w14:paraId="3F72A03F" w14:textId="2DE82F17" w:rsidR="00154AB2" w:rsidRPr="00154AB2" w:rsidRDefault="00154AB2" w:rsidP="00154AB2">
      <w:pPr>
        <w:overflowPunct/>
        <w:autoSpaceDE/>
        <w:autoSpaceDN/>
        <w:adjustRightInd/>
        <w:spacing w:after="0"/>
        <w:rPr>
          <w:rFonts w:ascii="Segoe UI" w:eastAsia="Times New Roman" w:hAnsi="Segoe UI" w:cs="Segoe UI"/>
          <w:sz w:val="18"/>
          <w:szCs w:val="18"/>
          <w:lang w:val="sv-SE" w:eastAsia="sv-SE"/>
        </w:rPr>
      </w:pPr>
    </w:p>
    <w:p w14:paraId="2B15944B" w14:textId="77777777" w:rsidR="00154AB2" w:rsidRPr="00F265F4" w:rsidRDefault="00154AB2" w:rsidP="00F265F4">
      <w:pPr>
        <w:rPr>
          <w:rFonts w:ascii="Arial" w:hAnsi="Arial"/>
          <w:color w:val="FF0000"/>
          <w:sz w:val="32"/>
        </w:rPr>
      </w:pP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1DF59" w14:textId="77777777" w:rsidR="007B16BD" w:rsidRDefault="007B16BD">
      <w:r>
        <w:separator/>
      </w:r>
    </w:p>
  </w:endnote>
  <w:endnote w:type="continuationSeparator" w:id="0">
    <w:p w14:paraId="56E20085" w14:textId="77777777" w:rsidR="007B16BD" w:rsidRDefault="007B16BD">
      <w:r>
        <w:continuationSeparator/>
      </w:r>
    </w:p>
  </w:endnote>
  <w:endnote w:type="continuationNotice" w:id="1">
    <w:p w14:paraId="68117630" w14:textId="77777777" w:rsidR="007B16BD" w:rsidRDefault="007B16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8D713" w14:textId="77777777" w:rsidR="007B16BD" w:rsidRDefault="007B16BD">
      <w:r>
        <w:separator/>
      </w:r>
    </w:p>
  </w:footnote>
  <w:footnote w:type="continuationSeparator" w:id="0">
    <w:p w14:paraId="1596E6E0" w14:textId="77777777" w:rsidR="007B16BD" w:rsidRDefault="007B16BD">
      <w:r>
        <w:continuationSeparator/>
      </w:r>
    </w:p>
  </w:footnote>
  <w:footnote w:type="continuationNotice" w:id="1">
    <w:p w14:paraId="4F8D7928" w14:textId="77777777" w:rsidR="007B16BD" w:rsidRDefault="007B16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9A033D"/>
    <w:multiLevelType w:val="multilevel"/>
    <w:tmpl w:val="EB98B2DE"/>
    <w:lvl w:ilvl="0">
      <w:start w:val="1"/>
      <w:numFmt w:val="decimal"/>
      <w:lvlText w:val="%1."/>
      <w:lvlJc w:val="left"/>
      <w:pPr>
        <w:tabs>
          <w:tab w:val="num" w:pos="284"/>
        </w:tabs>
        <w:ind w:left="284" w:hanging="360"/>
      </w:pPr>
    </w:lvl>
    <w:lvl w:ilvl="1" w:tentative="1">
      <w:start w:val="1"/>
      <w:numFmt w:val="decimal"/>
      <w:lvlText w:val="%2."/>
      <w:lvlJc w:val="left"/>
      <w:pPr>
        <w:tabs>
          <w:tab w:val="num" w:pos="1004"/>
        </w:tabs>
        <w:ind w:left="1004" w:hanging="360"/>
      </w:pPr>
    </w:lvl>
    <w:lvl w:ilvl="2" w:tentative="1">
      <w:start w:val="1"/>
      <w:numFmt w:val="decimal"/>
      <w:lvlText w:val="%3."/>
      <w:lvlJc w:val="left"/>
      <w:pPr>
        <w:tabs>
          <w:tab w:val="num" w:pos="1724"/>
        </w:tabs>
        <w:ind w:left="1724" w:hanging="360"/>
      </w:pPr>
    </w:lvl>
    <w:lvl w:ilvl="3" w:tentative="1">
      <w:start w:val="1"/>
      <w:numFmt w:val="decimal"/>
      <w:lvlText w:val="%4."/>
      <w:lvlJc w:val="left"/>
      <w:pPr>
        <w:tabs>
          <w:tab w:val="num" w:pos="2444"/>
        </w:tabs>
        <w:ind w:left="2444" w:hanging="360"/>
      </w:pPr>
    </w:lvl>
    <w:lvl w:ilvl="4" w:tentative="1">
      <w:start w:val="1"/>
      <w:numFmt w:val="decimal"/>
      <w:lvlText w:val="%5."/>
      <w:lvlJc w:val="left"/>
      <w:pPr>
        <w:tabs>
          <w:tab w:val="num" w:pos="3164"/>
        </w:tabs>
        <w:ind w:left="3164" w:hanging="360"/>
      </w:pPr>
    </w:lvl>
    <w:lvl w:ilvl="5" w:tentative="1">
      <w:start w:val="1"/>
      <w:numFmt w:val="decimal"/>
      <w:lvlText w:val="%6."/>
      <w:lvlJc w:val="left"/>
      <w:pPr>
        <w:tabs>
          <w:tab w:val="num" w:pos="3884"/>
        </w:tabs>
        <w:ind w:left="3884" w:hanging="360"/>
      </w:pPr>
    </w:lvl>
    <w:lvl w:ilvl="6" w:tentative="1">
      <w:start w:val="1"/>
      <w:numFmt w:val="decimal"/>
      <w:lvlText w:val="%7."/>
      <w:lvlJc w:val="left"/>
      <w:pPr>
        <w:tabs>
          <w:tab w:val="num" w:pos="4604"/>
        </w:tabs>
        <w:ind w:left="4604" w:hanging="360"/>
      </w:pPr>
    </w:lvl>
    <w:lvl w:ilvl="7" w:tentative="1">
      <w:start w:val="1"/>
      <w:numFmt w:val="decimal"/>
      <w:lvlText w:val="%8."/>
      <w:lvlJc w:val="left"/>
      <w:pPr>
        <w:tabs>
          <w:tab w:val="num" w:pos="5324"/>
        </w:tabs>
        <w:ind w:left="5324" w:hanging="360"/>
      </w:pPr>
    </w:lvl>
    <w:lvl w:ilvl="8" w:tentative="1">
      <w:start w:val="1"/>
      <w:numFmt w:val="decimal"/>
      <w:lvlText w:val="%9."/>
      <w:lvlJc w:val="left"/>
      <w:pPr>
        <w:tabs>
          <w:tab w:val="num" w:pos="6044"/>
        </w:tabs>
        <w:ind w:left="6044" w:hanging="360"/>
      </w:pPr>
    </w:lvl>
  </w:abstractNum>
  <w:abstractNum w:abstractNumId="6"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FE4CBA"/>
    <w:multiLevelType w:val="multilevel"/>
    <w:tmpl w:val="6C70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BC2E18"/>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7"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8"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3" w15:restartNumberingAfterBreak="0">
    <w:nsid w:val="479728D4"/>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6"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7"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30A46A6"/>
    <w:multiLevelType w:val="multilevel"/>
    <w:tmpl w:val="3B8A86C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517717A"/>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995A49"/>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2"/>
  </w:num>
  <w:num w:numId="2">
    <w:abstractNumId w:val="2"/>
  </w:num>
  <w:num w:numId="3">
    <w:abstractNumId w:val="25"/>
  </w:num>
  <w:num w:numId="4">
    <w:abstractNumId w:val="42"/>
  </w:num>
  <w:num w:numId="5">
    <w:abstractNumId w:val="26"/>
  </w:num>
  <w:num w:numId="6">
    <w:abstractNumId w:val="21"/>
  </w:num>
  <w:num w:numId="7">
    <w:abstractNumId w:val="3"/>
  </w:num>
  <w:num w:numId="8">
    <w:abstractNumId w:val="40"/>
  </w:num>
  <w:num w:numId="9">
    <w:abstractNumId w:val="16"/>
  </w:num>
  <w:num w:numId="10">
    <w:abstractNumId w:val="30"/>
  </w:num>
  <w:num w:numId="11">
    <w:abstractNumId w:val="22"/>
  </w:num>
  <w:num w:numId="12">
    <w:abstractNumId w:val="9"/>
  </w:num>
  <w:num w:numId="13">
    <w:abstractNumId w:val="1"/>
  </w:num>
  <w:num w:numId="14">
    <w:abstractNumId w:val="39"/>
  </w:num>
  <w:num w:numId="15">
    <w:abstractNumId w:val="0"/>
  </w:num>
  <w:num w:numId="16">
    <w:abstractNumId w:val="28"/>
  </w:num>
  <w:num w:numId="17">
    <w:abstractNumId w:val="29"/>
  </w:num>
  <w:num w:numId="18">
    <w:abstractNumId w:val="41"/>
  </w:num>
  <w:num w:numId="19">
    <w:abstractNumId w:val="10"/>
  </w:num>
  <w:num w:numId="20">
    <w:abstractNumId w:val="19"/>
  </w:num>
  <w:num w:numId="21">
    <w:abstractNumId w:val="11"/>
  </w:num>
  <w:num w:numId="22">
    <w:abstractNumId w:val="8"/>
  </w:num>
  <w:num w:numId="23">
    <w:abstractNumId w:val="17"/>
  </w:num>
  <w:num w:numId="24">
    <w:abstractNumId w:val="35"/>
  </w:num>
  <w:num w:numId="25">
    <w:abstractNumId w:val="20"/>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2"/>
  </w:num>
  <w:num w:numId="30">
    <w:abstractNumId w:val="6"/>
  </w:num>
  <w:num w:numId="31">
    <w:abstractNumId w:val="36"/>
  </w:num>
  <w:num w:numId="32">
    <w:abstractNumId w:val="32"/>
  </w:num>
  <w:num w:numId="33">
    <w:abstractNumId w:val="13"/>
  </w:num>
  <w:num w:numId="34">
    <w:abstractNumId w:val="38"/>
  </w:num>
  <w:num w:numId="35">
    <w:abstractNumId w:val="15"/>
  </w:num>
  <w:num w:numId="36">
    <w:abstractNumId w:val="18"/>
  </w:num>
  <w:num w:numId="37">
    <w:abstractNumId w:val="31"/>
  </w:num>
  <w:num w:numId="38">
    <w:abstractNumId w:val="24"/>
  </w:num>
  <w:num w:numId="39">
    <w:abstractNumId w:val="27"/>
  </w:num>
  <w:num w:numId="40">
    <w:abstractNumId w:val="7"/>
  </w:num>
  <w:num w:numId="41">
    <w:abstractNumId w:val="5"/>
  </w:num>
  <w:num w:numId="42">
    <w:abstractNumId w:val="14"/>
  </w:num>
  <w:num w:numId="43">
    <w:abstractNumId w:val="23"/>
  </w:num>
  <w:num w:numId="44">
    <w:abstractNumId w:val="34"/>
  </w:num>
  <w:num w:numId="45">
    <w:abstractNumId w:val="37"/>
  </w:num>
  <w:num w:numId="4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activeWritingStyle w:appName="MSWord" w:lang="en-GB" w:vendorID="64" w:dllVersion="0" w:nlCheck="1" w:checkStyle="0"/>
  <w:activeWritingStyle w:appName="MSWord" w:lang="en-U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3EE5"/>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Mention">
    <w:name w:val="Mention"/>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4AB2"/>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rsid w:val="00154AB2"/>
  </w:style>
  <w:style w:type="character" w:customStyle="1" w:styleId="eop">
    <w:name w:val="eop"/>
    <w:basedOn w:val="DefaultParagraphFont"/>
    <w:rsid w:val="0015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7151427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3514187">
      <w:bodyDiv w:val="1"/>
      <w:marLeft w:val="0"/>
      <w:marRight w:val="0"/>
      <w:marTop w:val="0"/>
      <w:marBottom w:val="0"/>
      <w:divBdr>
        <w:top w:val="none" w:sz="0" w:space="0" w:color="auto"/>
        <w:left w:val="none" w:sz="0" w:space="0" w:color="auto"/>
        <w:bottom w:val="none" w:sz="0" w:space="0" w:color="auto"/>
        <w:right w:val="none" w:sz="0" w:space="0" w:color="auto"/>
      </w:divBdr>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79697248">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422147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46788722">
      <w:bodyDiv w:val="1"/>
      <w:marLeft w:val="0"/>
      <w:marRight w:val="0"/>
      <w:marTop w:val="0"/>
      <w:marBottom w:val="0"/>
      <w:divBdr>
        <w:top w:val="none" w:sz="0" w:space="0" w:color="auto"/>
        <w:left w:val="none" w:sz="0" w:space="0" w:color="auto"/>
        <w:bottom w:val="none" w:sz="0" w:space="0" w:color="auto"/>
        <w:right w:val="none" w:sz="0" w:space="0" w:color="auto"/>
      </w:divBdr>
    </w:div>
    <w:div w:id="1367409062">
      <w:bodyDiv w:val="1"/>
      <w:marLeft w:val="0"/>
      <w:marRight w:val="0"/>
      <w:marTop w:val="0"/>
      <w:marBottom w:val="0"/>
      <w:divBdr>
        <w:top w:val="none" w:sz="0" w:space="0" w:color="auto"/>
        <w:left w:val="none" w:sz="0" w:space="0" w:color="auto"/>
        <w:bottom w:val="none" w:sz="0" w:space="0" w:color="auto"/>
        <w:right w:val="none" w:sz="0" w:space="0" w:color="auto"/>
      </w:divBdr>
      <w:divsChild>
        <w:div w:id="501117896">
          <w:marLeft w:val="0"/>
          <w:marRight w:val="0"/>
          <w:marTop w:val="0"/>
          <w:marBottom w:val="0"/>
          <w:divBdr>
            <w:top w:val="none" w:sz="0" w:space="0" w:color="auto"/>
            <w:left w:val="none" w:sz="0" w:space="0" w:color="auto"/>
            <w:bottom w:val="none" w:sz="0" w:space="0" w:color="auto"/>
            <w:right w:val="none" w:sz="0" w:space="0" w:color="auto"/>
          </w:divBdr>
          <w:divsChild>
            <w:div w:id="963268392">
              <w:marLeft w:val="0"/>
              <w:marRight w:val="0"/>
              <w:marTop w:val="0"/>
              <w:marBottom w:val="0"/>
              <w:divBdr>
                <w:top w:val="none" w:sz="0" w:space="0" w:color="auto"/>
                <w:left w:val="none" w:sz="0" w:space="0" w:color="auto"/>
                <w:bottom w:val="none" w:sz="0" w:space="0" w:color="auto"/>
                <w:right w:val="none" w:sz="0" w:space="0" w:color="auto"/>
              </w:divBdr>
            </w:div>
            <w:div w:id="1110466842">
              <w:marLeft w:val="0"/>
              <w:marRight w:val="0"/>
              <w:marTop w:val="0"/>
              <w:marBottom w:val="0"/>
              <w:divBdr>
                <w:top w:val="none" w:sz="0" w:space="0" w:color="auto"/>
                <w:left w:val="none" w:sz="0" w:space="0" w:color="auto"/>
                <w:bottom w:val="none" w:sz="0" w:space="0" w:color="auto"/>
                <w:right w:val="none" w:sz="0" w:space="0" w:color="auto"/>
              </w:divBdr>
            </w:div>
            <w:div w:id="1734422479">
              <w:marLeft w:val="0"/>
              <w:marRight w:val="0"/>
              <w:marTop w:val="0"/>
              <w:marBottom w:val="0"/>
              <w:divBdr>
                <w:top w:val="none" w:sz="0" w:space="0" w:color="auto"/>
                <w:left w:val="none" w:sz="0" w:space="0" w:color="auto"/>
                <w:bottom w:val="none" w:sz="0" w:space="0" w:color="auto"/>
                <w:right w:val="none" w:sz="0" w:space="0" w:color="auto"/>
              </w:divBdr>
            </w:div>
          </w:divsChild>
        </w:div>
        <w:div w:id="1497726198">
          <w:marLeft w:val="0"/>
          <w:marRight w:val="0"/>
          <w:marTop w:val="0"/>
          <w:marBottom w:val="0"/>
          <w:divBdr>
            <w:top w:val="none" w:sz="0" w:space="0" w:color="auto"/>
            <w:left w:val="none" w:sz="0" w:space="0" w:color="auto"/>
            <w:bottom w:val="none" w:sz="0" w:space="0" w:color="auto"/>
            <w:right w:val="none" w:sz="0" w:space="0" w:color="auto"/>
          </w:divBdr>
        </w:div>
        <w:div w:id="804660903">
          <w:marLeft w:val="0"/>
          <w:marRight w:val="0"/>
          <w:marTop w:val="0"/>
          <w:marBottom w:val="0"/>
          <w:divBdr>
            <w:top w:val="none" w:sz="0" w:space="0" w:color="auto"/>
            <w:left w:val="none" w:sz="0" w:space="0" w:color="auto"/>
            <w:bottom w:val="none" w:sz="0" w:space="0" w:color="auto"/>
            <w:right w:val="none" w:sz="0" w:space="0" w:color="auto"/>
          </w:divBdr>
          <w:divsChild>
            <w:div w:id="1032340950">
              <w:marLeft w:val="-75"/>
              <w:marRight w:val="0"/>
              <w:marTop w:val="30"/>
              <w:marBottom w:val="30"/>
              <w:divBdr>
                <w:top w:val="none" w:sz="0" w:space="0" w:color="auto"/>
                <w:left w:val="none" w:sz="0" w:space="0" w:color="auto"/>
                <w:bottom w:val="none" w:sz="0" w:space="0" w:color="auto"/>
                <w:right w:val="none" w:sz="0" w:space="0" w:color="auto"/>
              </w:divBdr>
              <w:divsChild>
                <w:div w:id="845444491">
                  <w:marLeft w:val="0"/>
                  <w:marRight w:val="0"/>
                  <w:marTop w:val="0"/>
                  <w:marBottom w:val="0"/>
                  <w:divBdr>
                    <w:top w:val="none" w:sz="0" w:space="0" w:color="auto"/>
                    <w:left w:val="none" w:sz="0" w:space="0" w:color="auto"/>
                    <w:bottom w:val="none" w:sz="0" w:space="0" w:color="auto"/>
                    <w:right w:val="none" w:sz="0" w:space="0" w:color="auto"/>
                  </w:divBdr>
                  <w:divsChild>
                    <w:div w:id="625550206">
                      <w:marLeft w:val="0"/>
                      <w:marRight w:val="0"/>
                      <w:marTop w:val="0"/>
                      <w:marBottom w:val="0"/>
                      <w:divBdr>
                        <w:top w:val="none" w:sz="0" w:space="0" w:color="auto"/>
                        <w:left w:val="none" w:sz="0" w:space="0" w:color="auto"/>
                        <w:bottom w:val="none" w:sz="0" w:space="0" w:color="auto"/>
                        <w:right w:val="none" w:sz="0" w:space="0" w:color="auto"/>
                      </w:divBdr>
                    </w:div>
                  </w:divsChild>
                </w:div>
                <w:div w:id="422382636">
                  <w:marLeft w:val="0"/>
                  <w:marRight w:val="0"/>
                  <w:marTop w:val="0"/>
                  <w:marBottom w:val="0"/>
                  <w:divBdr>
                    <w:top w:val="none" w:sz="0" w:space="0" w:color="auto"/>
                    <w:left w:val="none" w:sz="0" w:space="0" w:color="auto"/>
                    <w:bottom w:val="none" w:sz="0" w:space="0" w:color="auto"/>
                    <w:right w:val="none" w:sz="0" w:space="0" w:color="auto"/>
                  </w:divBdr>
                  <w:divsChild>
                    <w:div w:id="275675569">
                      <w:marLeft w:val="0"/>
                      <w:marRight w:val="0"/>
                      <w:marTop w:val="0"/>
                      <w:marBottom w:val="0"/>
                      <w:divBdr>
                        <w:top w:val="none" w:sz="0" w:space="0" w:color="auto"/>
                        <w:left w:val="none" w:sz="0" w:space="0" w:color="auto"/>
                        <w:bottom w:val="none" w:sz="0" w:space="0" w:color="auto"/>
                        <w:right w:val="none" w:sz="0" w:space="0" w:color="auto"/>
                      </w:divBdr>
                    </w:div>
                  </w:divsChild>
                </w:div>
                <w:div w:id="156269711">
                  <w:marLeft w:val="0"/>
                  <w:marRight w:val="0"/>
                  <w:marTop w:val="0"/>
                  <w:marBottom w:val="0"/>
                  <w:divBdr>
                    <w:top w:val="none" w:sz="0" w:space="0" w:color="auto"/>
                    <w:left w:val="none" w:sz="0" w:space="0" w:color="auto"/>
                    <w:bottom w:val="none" w:sz="0" w:space="0" w:color="auto"/>
                    <w:right w:val="none" w:sz="0" w:space="0" w:color="auto"/>
                  </w:divBdr>
                  <w:divsChild>
                    <w:div w:id="255019113">
                      <w:marLeft w:val="0"/>
                      <w:marRight w:val="0"/>
                      <w:marTop w:val="0"/>
                      <w:marBottom w:val="0"/>
                      <w:divBdr>
                        <w:top w:val="none" w:sz="0" w:space="0" w:color="auto"/>
                        <w:left w:val="none" w:sz="0" w:space="0" w:color="auto"/>
                        <w:bottom w:val="none" w:sz="0" w:space="0" w:color="auto"/>
                        <w:right w:val="none" w:sz="0" w:space="0" w:color="auto"/>
                      </w:divBdr>
                    </w:div>
                  </w:divsChild>
                </w:div>
                <w:div w:id="1891763677">
                  <w:marLeft w:val="0"/>
                  <w:marRight w:val="0"/>
                  <w:marTop w:val="0"/>
                  <w:marBottom w:val="0"/>
                  <w:divBdr>
                    <w:top w:val="none" w:sz="0" w:space="0" w:color="auto"/>
                    <w:left w:val="none" w:sz="0" w:space="0" w:color="auto"/>
                    <w:bottom w:val="none" w:sz="0" w:space="0" w:color="auto"/>
                    <w:right w:val="none" w:sz="0" w:space="0" w:color="auto"/>
                  </w:divBdr>
                  <w:divsChild>
                    <w:div w:id="831874308">
                      <w:marLeft w:val="0"/>
                      <w:marRight w:val="0"/>
                      <w:marTop w:val="0"/>
                      <w:marBottom w:val="0"/>
                      <w:divBdr>
                        <w:top w:val="none" w:sz="0" w:space="0" w:color="auto"/>
                        <w:left w:val="none" w:sz="0" w:space="0" w:color="auto"/>
                        <w:bottom w:val="none" w:sz="0" w:space="0" w:color="auto"/>
                        <w:right w:val="none" w:sz="0" w:space="0" w:color="auto"/>
                      </w:divBdr>
                    </w:div>
                  </w:divsChild>
                </w:div>
                <w:div w:id="153843111">
                  <w:marLeft w:val="0"/>
                  <w:marRight w:val="0"/>
                  <w:marTop w:val="0"/>
                  <w:marBottom w:val="0"/>
                  <w:divBdr>
                    <w:top w:val="none" w:sz="0" w:space="0" w:color="auto"/>
                    <w:left w:val="none" w:sz="0" w:space="0" w:color="auto"/>
                    <w:bottom w:val="none" w:sz="0" w:space="0" w:color="auto"/>
                    <w:right w:val="none" w:sz="0" w:space="0" w:color="auto"/>
                  </w:divBdr>
                  <w:divsChild>
                    <w:div w:id="1890069871">
                      <w:marLeft w:val="0"/>
                      <w:marRight w:val="0"/>
                      <w:marTop w:val="0"/>
                      <w:marBottom w:val="0"/>
                      <w:divBdr>
                        <w:top w:val="none" w:sz="0" w:space="0" w:color="auto"/>
                        <w:left w:val="none" w:sz="0" w:space="0" w:color="auto"/>
                        <w:bottom w:val="none" w:sz="0" w:space="0" w:color="auto"/>
                        <w:right w:val="none" w:sz="0" w:space="0" w:color="auto"/>
                      </w:divBdr>
                    </w:div>
                  </w:divsChild>
                </w:div>
                <w:div w:id="1206019800">
                  <w:marLeft w:val="0"/>
                  <w:marRight w:val="0"/>
                  <w:marTop w:val="0"/>
                  <w:marBottom w:val="0"/>
                  <w:divBdr>
                    <w:top w:val="none" w:sz="0" w:space="0" w:color="auto"/>
                    <w:left w:val="none" w:sz="0" w:space="0" w:color="auto"/>
                    <w:bottom w:val="none" w:sz="0" w:space="0" w:color="auto"/>
                    <w:right w:val="none" w:sz="0" w:space="0" w:color="auto"/>
                  </w:divBdr>
                  <w:divsChild>
                    <w:div w:id="636684180">
                      <w:marLeft w:val="0"/>
                      <w:marRight w:val="0"/>
                      <w:marTop w:val="0"/>
                      <w:marBottom w:val="0"/>
                      <w:divBdr>
                        <w:top w:val="none" w:sz="0" w:space="0" w:color="auto"/>
                        <w:left w:val="none" w:sz="0" w:space="0" w:color="auto"/>
                        <w:bottom w:val="none" w:sz="0" w:space="0" w:color="auto"/>
                        <w:right w:val="none" w:sz="0" w:space="0" w:color="auto"/>
                      </w:divBdr>
                    </w:div>
                  </w:divsChild>
                </w:div>
                <w:div w:id="1990748625">
                  <w:marLeft w:val="0"/>
                  <w:marRight w:val="0"/>
                  <w:marTop w:val="0"/>
                  <w:marBottom w:val="0"/>
                  <w:divBdr>
                    <w:top w:val="none" w:sz="0" w:space="0" w:color="auto"/>
                    <w:left w:val="none" w:sz="0" w:space="0" w:color="auto"/>
                    <w:bottom w:val="none" w:sz="0" w:space="0" w:color="auto"/>
                    <w:right w:val="none" w:sz="0" w:space="0" w:color="auto"/>
                  </w:divBdr>
                  <w:divsChild>
                    <w:div w:id="346717573">
                      <w:marLeft w:val="0"/>
                      <w:marRight w:val="0"/>
                      <w:marTop w:val="0"/>
                      <w:marBottom w:val="0"/>
                      <w:divBdr>
                        <w:top w:val="none" w:sz="0" w:space="0" w:color="auto"/>
                        <w:left w:val="none" w:sz="0" w:space="0" w:color="auto"/>
                        <w:bottom w:val="none" w:sz="0" w:space="0" w:color="auto"/>
                        <w:right w:val="none" w:sz="0" w:space="0" w:color="auto"/>
                      </w:divBdr>
                    </w:div>
                  </w:divsChild>
                </w:div>
                <w:div w:id="1553038586">
                  <w:marLeft w:val="0"/>
                  <w:marRight w:val="0"/>
                  <w:marTop w:val="0"/>
                  <w:marBottom w:val="0"/>
                  <w:divBdr>
                    <w:top w:val="none" w:sz="0" w:space="0" w:color="auto"/>
                    <w:left w:val="none" w:sz="0" w:space="0" w:color="auto"/>
                    <w:bottom w:val="none" w:sz="0" w:space="0" w:color="auto"/>
                    <w:right w:val="none" w:sz="0" w:space="0" w:color="auto"/>
                  </w:divBdr>
                  <w:divsChild>
                    <w:div w:id="493104500">
                      <w:marLeft w:val="0"/>
                      <w:marRight w:val="0"/>
                      <w:marTop w:val="0"/>
                      <w:marBottom w:val="0"/>
                      <w:divBdr>
                        <w:top w:val="none" w:sz="0" w:space="0" w:color="auto"/>
                        <w:left w:val="none" w:sz="0" w:space="0" w:color="auto"/>
                        <w:bottom w:val="none" w:sz="0" w:space="0" w:color="auto"/>
                        <w:right w:val="none" w:sz="0" w:space="0" w:color="auto"/>
                      </w:divBdr>
                    </w:div>
                  </w:divsChild>
                </w:div>
                <w:div w:id="1407458866">
                  <w:marLeft w:val="0"/>
                  <w:marRight w:val="0"/>
                  <w:marTop w:val="0"/>
                  <w:marBottom w:val="0"/>
                  <w:divBdr>
                    <w:top w:val="none" w:sz="0" w:space="0" w:color="auto"/>
                    <w:left w:val="none" w:sz="0" w:space="0" w:color="auto"/>
                    <w:bottom w:val="none" w:sz="0" w:space="0" w:color="auto"/>
                    <w:right w:val="none" w:sz="0" w:space="0" w:color="auto"/>
                  </w:divBdr>
                  <w:divsChild>
                    <w:div w:id="741027078">
                      <w:marLeft w:val="0"/>
                      <w:marRight w:val="0"/>
                      <w:marTop w:val="0"/>
                      <w:marBottom w:val="0"/>
                      <w:divBdr>
                        <w:top w:val="none" w:sz="0" w:space="0" w:color="auto"/>
                        <w:left w:val="none" w:sz="0" w:space="0" w:color="auto"/>
                        <w:bottom w:val="none" w:sz="0" w:space="0" w:color="auto"/>
                        <w:right w:val="none" w:sz="0" w:space="0" w:color="auto"/>
                      </w:divBdr>
                    </w:div>
                  </w:divsChild>
                </w:div>
                <w:div w:id="1191843097">
                  <w:marLeft w:val="0"/>
                  <w:marRight w:val="0"/>
                  <w:marTop w:val="0"/>
                  <w:marBottom w:val="0"/>
                  <w:divBdr>
                    <w:top w:val="none" w:sz="0" w:space="0" w:color="auto"/>
                    <w:left w:val="none" w:sz="0" w:space="0" w:color="auto"/>
                    <w:bottom w:val="none" w:sz="0" w:space="0" w:color="auto"/>
                    <w:right w:val="none" w:sz="0" w:space="0" w:color="auto"/>
                  </w:divBdr>
                  <w:divsChild>
                    <w:div w:id="2011639179">
                      <w:marLeft w:val="0"/>
                      <w:marRight w:val="0"/>
                      <w:marTop w:val="0"/>
                      <w:marBottom w:val="0"/>
                      <w:divBdr>
                        <w:top w:val="none" w:sz="0" w:space="0" w:color="auto"/>
                        <w:left w:val="none" w:sz="0" w:space="0" w:color="auto"/>
                        <w:bottom w:val="none" w:sz="0" w:space="0" w:color="auto"/>
                        <w:right w:val="none" w:sz="0" w:space="0" w:color="auto"/>
                      </w:divBdr>
                    </w:div>
                  </w:divsChild>
                </w:div>
                <w:div w:id="899484475">
                  <w:marLeft w:val="0"/>
                  <w:marRight w:val="0"/>
                  <w:marTop w:val="0"/>
                  <w:marBottom w:val="0"/>
                  <w:divBdr>
                    <w:top w:val="none" w:sz="0" w:space="0" w:color="auto"/>
                    <w:left w:val="none" w:sz="0" w:space="0" w:color="auto"/>
                    <w:bottom w:val="none" w:sz="0" w:space="0" w:color="auto"/>
                    <w:right w:val="none" w:sz="0" w:space="0" w:color="auto"/>
                  </w:divBdr>
                  <w:divsChild>
                    <w:div w:id="1559896788">
                      <w:marLeft w:val="0"/>
                      <w:marRight w:val="0"/>
                      <w:marTop w:val="0"/>
                      <w:marBottom w:val="0"/>
                      <w:divBdr>
                        <w:top w:val="none" w:sz="0" w:space="0" w:color="auto"/>
                        <w:left w:val="none" w:sz="0" w:space="0" w:color="auto"/>
                        <w:bottom w:val="none" w:sz="0" w:space="0" w:color="auto"/>
                        <w:right w:val="none" w:sz="0" w:space="0" w:color="auto"/>
                      </w:divBdr>
                    </w:div>
                  </w:divsChild>
                </w:div>
                <w:div w:id="2092970318">
                  <w:marLeft w:val="0"/>
                  <w:marRight w:val="0"/>
                  <w:marTop w:val="0"/>
                  <w:marBottom w:val="0"/>
                  <w:divBdr>
                    <w:top w:val="none" w:sz="0" w:space="0" w:color="auto"/>
                    <w:left w:val="none" w:sz="0" w:space="0" w:color="auto"/>
                    <w:bottom w:val="none" w:sz="0" w:space="0" w:color="auto"/>
                    <w:right w:val="none" w:sz="0" w:space="0" w:color="auto"/>
                  </w:divBdr>
                  <w:divsChild>
                    <w:div w:id="1544440877">
                      <w:marLeft w:val="0"/>
                      <w:marRight w:val="0"/>
                      <w:marTop w:val="0"/>
                      <w:marBottom w:val="0"/>
                      <w:divBdr>
                        <w:top w:val="none" w:sz="0" w:space="0" w:color="auto"/>
                        <w:left w:val="none" w:sz="0" w:space="0" w:color="auto"/>
                        <w:bottom w:val="none" w:sz="0" w:space="0" w:color="auto"/>
                        <w:right w:val="none" w:sz="0" w:space="0" w:color="auto"/>
                      </w:divBdr>
                    </w:div>
                  </w:divsChild>
                </w:div>
                <w:div w:id="1109396772">
                  <w:marLeft w:val="0"/>
                  <w:marRight w:val="0"/>
                  <w:marTop w:val="0"/>
                  <w:marBottom w:val="0"/>
                  <w:divBdr>
                    <w:top w:val="none" w:sz="0" w:space="0" w:color="auto"/>
                    <w:left w:val="none" w:sz="0" w:space="0" w:color="auto"/>
                    <w:bottom w:val="none" w:sz="0" w:space="0" w:color="auto"/>
                    <w:right w:val="none" w:sz="0" w:space="0" w:color="auto"/>
                  </w:divBdr>
                  <w:divsChild>
                    <w:div w:id="221019597">
                      <w:marLeft w:val="0"/>
                      <w:marRight w:val="0"/>
                      <w:marTop w:val="0"/>
                      <w:marBottom w:val="0"/>
                      <w:divBdr>
                        <w:top w:val="none" w:sz="0" w:space="0" w:color="auto"/>
                        <w:left w:val="none" w:sz="0" w:space="0" w:color="auto"/>
                        <w:bottom w:val="none" w:sz="0" w:space="0" w:color="auto"/>
                        <w:right w:val="none" w:sz="0" w:space="0" w:color="auto"/>
                      </w:divBdr>
                    </w:div>
                  </w:divsChild>
                </w:div>
                <w:div w:id="245456059">
                  <w:marLeft w:val="0"/>
                  <w:marRight w:val="0"/>
                  <w:marTop w:val="0"/>
                  <w:marBottom w:val="0"/>
                  <w:divBdr>
                    <w:top w:val="none" w:sz="0" w:space="0" w:color="auto"/>
                    <w:left w:val="none" w:sz="0" w:space="0" w:color="auto"/>
                    <w:bottom w:val="none" w:sz="0" w:space="0" w:color="auto"/>
                    <w:right w:val="none" w:sz="0" w:space="0" w:color="auto"/>
                  </w:divBdr>
                  <w:divsChild>
                    <w:div w:id="4985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09076">
          <w:marLeft w:val="0"/>
          <w:marRight w:val="0"/>
          <w:marTop w:val="0"/>
          <w:marBottom w:val="0"/>
          <w:divBdr>
            <w:top w:val="none" w:sz="0" w:space="0" w:color="auto"/>
            <w:left w:val="none" w:sz="0" w:space="0" w:color="auto"/>
            <w:bottom w:val="none" w:sz="0" w:space="0" w:color="auto"/>
            <w:right w:val="none" w:sz="0" w:space="0" w:color="auto"/>
          </w:divBdr>
        </w:div>
        <w:div w:id="2002074912">
          <w:marLeft w:val="0"/>
          <w:marRight w:val="0"/>
          <w:marTop w:val="0"/>
          <w:marBottom w:val="0"/>
          <w:divBdr>
            <w:top w:val="none" w:sz="0" w:space="0" w:color="auto"/>
            <w:left w:val="none" w:sz="0" w:space="0" w:color="auto"/>
            <w:bottom w:val="none" w:sz="0" w:space="0" w:color="auto"/>
            <w:right w:val="none" w:sz="0" w:space="0" w:color="auto"/>
          </w:divBdr>
        </w:div>
        <w:div w:id="178352444">
          <w:marLeft w:val="0"/>
          <w:marRight w:val="0"/>
          <w:marTop w:val="0"/>
          <w:marBottom w:val="0"/>
          <w:divBdr>
            <w:top w:val="none" w:sz="0" w:space="0" w:color="auto"/>
            <w:left w:val="none" w:sz="0" w:space="0" w:color="auto"/>
            <w:bottom w:val="none" w:sz="0" w:space="0" w:color="auto"/>
            <w:right w:val="none" w:sz="0" w:space="0" w:color="auto"/>
          </w:divBdr>
        </w:div>
        <w:div w:id="1093621715">
          <w:marLeft w:val="0"/>
          <w:marRight w:val="0"/>
          <w:marTop w:val="0"/>
          <w:marBottom w:val="0"/>
          <w:divBdr>
            <w:top w:val="none" w:sz="0" w:space="0" w:color="auto"/>
            <w:left w:val="none" w:sz="0" w:space="0" w:color="auto"/>
            <w:bottom w:val="none" w:sz="0" w:space="0" w:color="auto"/>
            <w:right w:val="none" w:sz="0" w:space="0" w:color="auto"/>
          </w:divBdr>
        </w:div>
      </w:divsChild>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 w:id="21440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74C3D3B0-95F1-41D9-964D-0B6D74158806}">
  <ds:schemaRefs>
    <ds:schemaRef ds:uri="http://schemas.openxmlformats.org/officeDocument/2006/bibliography"/>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85</TotalTime>
  <Pages>3</Pages>
  <Words>715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Sorour Falahati</cp:lastModifiedBy>
  <cp:revision>46</cp:revision>
  <cp:lastPrinted>2016-06-22T11:35:00Z</cp:lastPrinted>
  <dcterms:created xsi:type="dcterms:W3CDTF">2021-08-31T06:24:00Z</dcterms:created>
  <dcterms:modified xsi:type="dcterms:W3CDTF">2021-08-31T19:08:00Z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