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w:t>
            </w:r>
            <w:r w:rsidRPr="00381C62">
              <w:lastRenderedPageBreak/>
              <w:t xml:space="preserve">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lastRenderedPageBreak/>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lastRenderedPageBreak/>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lastRenderedPageBreak/>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lastRenderedPageBreak/>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lastRenderedPageBreak/>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 xml:space="preserve">maximum deferral value configuration, i.e. </w:t>
            </w:r>
            <w:r w:rsidRPr="00DB0246">
              <w:rPr>
                <w:lang w:val="en-US"/>
              </w:rPr>
              <w:lastRenderedPageBreak/>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lastRenderedPageBreak/>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lastRenderedPageBreak/>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 xml:space="preserve">or a </w:t>
            </w:r>
            <w:r w:rsidRPr="008E631C">
              <w:rPr>
                <w:b/>
                <w:iCs/>
                <w:sz w:val="22"/>
                <w:szCs w:val="22"/>
              </w:rPr>
              <w:lastRenderedPageBreak/>
              <w:t>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lastRenderedPageBreak/>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w:t>
            </w:r>
            <w:r>
              <w:rPr>
                <w:iCs/>
                <w:kern w:val="2"/>
              </w:rPr>
              <w:lastRenderedPageBreak/>
              <w:t xml:space="preserve">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 xml:space="preserve">dynamically </w:t>
            </w:r>
            <w:r w:rsidRPr="008E631C">
              <w:rPr>
                <w:b/>
                <w:iCs/>
                <w:sz w:val="22"/>
                <w:szCs w:val="22"/>
              </w:rPr>
              <w:lastRenderedPageBreak/>
              <w:t>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 xml:space="preserve">If SFI is not configured, without a dynamic scheduling DCI for the PUCCH the PUCCH would not be </w:t>
            </w:r>
            <w:r>
              <w:rPr>
                <w:iCs/>
                <w:color w:val="0070C0"/>
                <w:kern w:val="2"/>
                <w:lang w:eastAsia="zh-CN"/>
              </w:rPr>
              <w:lastRenderedPageBreak/>
              <w:t>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69.25pt" o:ole="">
                  <v:imagedata r:id="rId14" o:title=""/>
                </v:shape>
                <o:OLEObject Type="Embed" ProgID="PowerPoint.SlideMacroEnabled.12" ShapeID="_x0000_i1025" DrawAspect="Content" ObjectID="_1690912866"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w:t>
            </w:r>
            <w:r>
              <w:rPr>
                <w:rFonts w:eastAsia="Malgun Gothic"/>
                <w:color w:val="0070C0"/>
                <w:kern w:val="2"/>
                <w:lang w:eastAsia="ko-KR"/>
              </w:rPr>
              <w:lastRenderedPageBreak/>
              <w:t xml:space="preserve">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w:t>
            </w:r>
            <w:r>
              <w:rPr>
                <w:bCs/>
                <w:iCs/>
                <w:sz w:val="22"/>
                <w:szCs w:val="22"/>
                <w:lang w:val="en-US"/>
              </w:rPr>
              <w:lastRenderedPageBreak/>
              <w:t xml:space="preserve">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Spreadtrum,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lastRenderedPageBreak/>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w:t>
            </w:r>
            <w:r>
              <w:rPr>
                <w:iCs/>
                <w:kern w:val="2"/>
                <w:lang w:eastAsia="zh-CN"/>
              </w:rPr>
              <w:lastRenderedPageBreak/>
              <w:t>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lastRenderedPageBreak/>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D3E7934"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w:t>
            </w:r>
            <w:r>
              <w:rPr>
                <w:iCs/>
                <w:kern w:val="2"/>
                <w:lang w:eastAsia="zh-CN"/>
              </w:rPr>
              <w:lastRenderedPageBreak/>
              <w:t>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Moderator 2: Now I get it, sorry. Please note, that I still think the current formulation is fine (without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ListParagraph"/>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zh-CN"/>
              </w:rPr>
              <w:lastRenderedPageBreak/>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ListParagraph"/>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Waiting for PUCCH resources with large payload size may lead to a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7DA2502F" w14:textId="25F9C84D" w:rsidR="00874205" w:rsidRDefault="00874205" w:rsidP="00874205">
            <w:pPr>
              <w:spacing w:beforeLines="50" w:before="120"/>
              <w:rPr>
                <w:iCs/>
                <w:kern w:val="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w:t>
            </w:r>
            <w:r w:rsidRPr="00ED2B31">
              <w:rPr>
                <w:i/>
                <w:iCs/>
                <w:lang w:eastAsia="zh-CN"/>
              </w:rPr>
              <w:lastRenderedPageBreak/>
              <w:t xml:space="preserve">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lastRenderedPageBreak/>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lastRenderedPageBreak/>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lastRenderedPageBreak/>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sensible but they will open up many discussions which will deviate from the goal of the group now: define the Enhanced Type 3 CB size and how it will be </w:t>
            </w:r>
            <w:r w:rsidRPr="000A4CAB">
              <w:rPr>
                <w:iCs/>
                <w:kern w:val="2"/>
                <w:lang w:eastAsia="zh-CN"/>
              </w:rPr>
              <w:lastRenderedPageBreak/>
              <w:t>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lastRenderedPageBreak/>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lastRenderedPageBreak/>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 xml:space="preserve">f ‘new, initial’ HARQ-ACK information is carried in enhanced Type3 HARQ-ACK codebook, in other words, more than one enhanced Type 3 HARQ-ACK codebook trigged in the same slot </w:t>
            </w:r>
            <w:r>
              <w:rPr>
                <w:kern w:val="2"/>
                <w:lang w:eastAsia="zh-CN"/>
              </w:rPr>
              <w:lastRenderedPageBreak/>
              <w:t>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 xml:space="preserve">Lenovo/Motorola </w:t>
            </w:r>
            <w:r>
              <w:rPr>
                <w:iCs/>
                <w:kern w:val="2"/>
                <w:lang w:eastAsia="zh-CN"/>
              </w:rPr>
              <w:lastRenderedPageBreak/>
              <w:t>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lastRenderedPageBreak/>
              <w:t>Alt 2. gNB can guarantee transmission of ‘</w:t>
            </w:r>
            <w:r w:rsidRPr="00E31B79">
              <w:rPr>
                <w:sz w:val="22"/>
                <w:lang w:val="en-US" w:eastAsia="zh-CN"/>
              </w:rPr>
              <w:t>new, initial’ HARQ-ACK information</w:t>
            </w:r>
            <w:r>
              <w:rPr>
                <w:sz w:val="22"/>
                <w:lang w:val="en-US" w:eastAsia="zh-CN"/>
              </w:rPr>
              <w:t xml:space="preserve"> by </w:t>
            </w:r>
            <w:r>
              <w:rPr>
                <w:sz w:val="22"/>
                <w:lang w:val="en-US" w:eastAsia="zh-CN"/>
              </w:rPr>
              <w:lastRenderedPageBreak/>
              <w:t>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lastRenderedPageBreak/>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 xml:space="preserve">e want to use a DCI not scheduling PDSCH for such triggering. And some fields (e.g. TDRA) </w:t>
            </w:r>
            <w:r>
              <w:rPr>
                <w:kern w:val="2"/>
                <w:lang w:eastAsia="zh-CN"/>
              </w:rPr>
              <w:lastRenderedPageBreak/>
              <w:t>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lastRenderedPageBreak/>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lastRenderedPageBreak/>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lastRenderedPageBreak/>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BE19F79"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lastRenderedPageBreak/>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lastRenderedPageBreak/>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w:t>
      </w:r>
      <w:r>
        <w:lastRenderedPageBreak/>
        <w:t xml:space="preserve">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w:t>
            </w:r>
            <w:r>
              <w:rPr>
                <w:kern w:val="2"/>
                <w:lang w:eastAsia="zh-CN"/>
              </w:rPr>
              <w:lastRenderedPageBreak/>
              <w:t xml:space="preserve">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ListParagraph"/>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ListParagraph"/>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ListParagraph"/>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Pr>
                <w:rFonts w:hint="eastAsia"/>
                <w:kern w:val="2"/>
                <w:lang w:eastAsia="zh-CN"/>
              </w:rPr>
              <w:t>CATT</w:t>
            </w:r>
            <w:r w:rsidR="00FA64C4">
              <w:rPr>
                <w:kern w:val="2"/>
                <w:lang w:eastAsia="zh-CN"/>
              </w:rPr>
              <w:t>, Sony</w:t>
            </w:r>
            <w:r w:rsidR="000E04A7">
              <w:rPr>
                <w:kern w:val="2"/>
                <w:lang w:eastAsia="zh-CN"/>
              </w:rPr>
              <w:t>, Huawei</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lastRenderedPageBreak/>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lastRenderedPageBreak/>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lastRenderedPageBreak/>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w:t>
            </w:r>
            <w:r w:rsidR="00831DB9">
              <w:rPr>
                <w:iCs/>
                <w:color w:val="0070C0"/>
                <w:kern w:val="2"/>
                <w:lang w:eastAsia="zh-CN"/>
              </w:rPr>
              <w:lastRenderedPageBreak/>
              <w:t xml:space="preserve">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01843EB9"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DL slot, </w:t>
            </w:r>
            <w:bookmarkStart w:id="14" w:name="OLE_LINK58"/>
            <w:r>
              <w:t xml:space="preserve">prune </w:t>
            </w:r>
            <w:bookmarkEnd w:id="14"/>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ListParagraph"/>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ListParagraph"/>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6EF0566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ListParagraph"/>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3B9C566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64694411"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6686013E"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5442E9A0"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040535CF"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6A2D1C1E"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3D6D52DB"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3"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4"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6FFD5" w14:textId="77777777" w:rsidR="0057252B" w:rsidRDefault="0057252B">
      <w:r>
        <w:separator/>
      </w:r>
    </w:p>
  </w:endnote>
  <w:endnote w:type="continuationSeparator" w:id="0">
    <w:p w14:paraId="6C9688E0" w14:textId="77777777" w:rsidR="0057252B" w:rsidRDefault="0057252B">
      <w:r>
        <w:continuationSeparator/>
      </w:r>
    </w:p>
  </w:endnote>
  <w:endnote w:type="continuationNotice" w:id="1">
    <w:p w14:paraId="413DB3BD" w14:textId="77777777" w:rsidR="0057252B" w:rsidRDefault="005725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KaiTi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EAF867F" w:rsidR="001B3790" w:rsidRDefault="001B3790">
        <w:pPr>
          <w:pStyle w:val="Footer"/>
        </w:pPr>
        <w:r>
          <w:fldChar w:fldCharType="begin"/>
        </w:r>
        <w:r>
          <w:instrText>PAGE   \* MERGEFORMAT</w:instrText>
        </w:r>
        <w:r>
          <w:fldChar w:fldCharType="separate"/>
        </w:r>
        <w:r w:rsidRPr="007F2B95">
          <w:rPr>
            <w:lang w:val="zh-CN" w:eastAsia="zh-CN"/>
          </w:rPr>
          <w:t>125</w:t>
        </w:r>
        <w:r>
          <w:fldChar w:fldCharType="end"/>
        </w:r>
      </w:p>
    </w:sdtContent>
  </w:sdt>
  <w:p w14:paraId="00A820FC" w14:textId="77777777" w:rsidR="001B3790" w:rsidRDefault="001B3790">
    <w:pPr>
      <w:pStyle w:val="Footer"/>
    </w:pPr>
  </w:p>
  <w:p w14:paraId="4A48D3F3" w14:textId="77777777" w:rsidR="001B3790" w:rsidRDefault="001B3790"/>
  <w:p w14:paraId="46E31D82" w14:textId="77777777" w:rsidR="001B3790" w:rsidRDefault="001B37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6CE4F" w14:textId="77777777" w:rsidR="0057252B" w:rsidRDefault="0057252B">
      <w:r>
        <w:separator/>
      </w:r>
    </w:p>
  </w:footnote>
  <w:footnote w:type="continuationSeparator" w:id="0">
    <w:p w14:paraId="7C5E5E6E" w14:textId="77777777" w:rsidR="0057252B" w:rsidRDefault="0057252B">
      <w:r>
        <w:continuationSeparator/>
      </w:r>
    </w:p>
  </w:footnote>
  <w:footnote w:type="continuationNotice" w:id="1">
    <w:p w14:paraId="451CE021" w14:textId="77777777" w:rsidR="0057252B" w:rsidRDefault="005725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1B3790" w:rsidRDefault="001B3790">
    <w:pPr>
      <w:pStyle w:val="Header"/>
      <w:tabs>
        <w:tab w:val="right" w:pos="9639"/>
      </w:tabs>
    </w:pPr>
    <w:r>
      <w:tab/>
    </w:r>
  </w:p>
  <w:p w14:paraId="246D48EC" w14:textId="77777777" w:rsidR="001B3790" w:rsidRDefault="001B3790"/>
  <w:p w14:paraId="4F6F578E" w14:textId="77777777" w:rsidR="001B3790" w:rsidRDefault="001B3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85EE60E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5"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9"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3"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3"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7"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5"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6"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7"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1"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2"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6"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7"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8"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9"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1"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2"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5"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6"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2"/>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8"/>
  </w:num>
  <w:num w:numId="4">
    <w:abstractNumId w:val="118"/>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0"/>
  </w:num>
  <w:num w:numId="14">
    <w:abstractNumId w:val="67"/>
  </w:num>
  <w:num w:numId="15">
    <w:abstractNumId w:val="46"/>
  </w:num>
  <w:num w:numId="16">
    <w:abstractNumId w:val="57"/>
  </w:num>
  <w:num w:numId="17">
    <w:abstractNumId w:val="38"/>
  </w:num>
  <w:num w:numId="18">
    <w:abstractNumId w:val="64"/>
  </w:num>
  <w:num w:numId="19">
    <w:abstractNumId w:val="119"/>
  </w:num>
  <w:num w:numId="20">
    <w:abstractNumId w:val="157"/>
  </w:num>
  <w:num w:numId="21">
    <w:abstractNumId w:val="97"/>
  </w:num>
  <w:num w:numId="22">
    <w:abstractNumId w:val="0"/>
  </w:num>
  <w:num w:numId="23">
    <w:abstractNumId w:val="58"/>
  </w:num>
  <w:num w:numId="24">
    <w:abstractNumId w:val="92"/>
  </w:num>
  <w:num w:numId="25">
    <w:abstractNumId w:val="22"/>
  </w:num>
  <w:num w:numId="26">
    <w:abstractNumId w:val="123"/>
  </w:num>
  <w:num w:numId="27">
    <w:abstractNumId w:val="150"/>
  </w:num>
  <w:num w:numId="28">
    <w:abstractNumId w:val="143"/>
  </w:num>
  <w:num w:numId="29">
    <w:abstractNumId w:val="138"/>
  </w:num>
  <w:num w:numId="30">
    <w:abstractNumId w:val="14"/>
  </w:num>
  <w:num w:numId="31">
    <w:abstractNumId w:val="42"/>
  </w:num>
  <w:num w:numId="32">
    <w:abstractNumId w:val="132"/>
  </w:num>
  <w:num w:numId="33">
    <w:abstractNumId w:val="34"/>
  </w:num>
  <w:num w:numId="34">
    <w:abstractNumId w:val="86"/>
  </w:num>
  <w:num w:numId="35">
    <w:abstractNumId w:val="50"/>
  </w:num>
  <w:num w:numId="36">
    <w:abstractNumId w:val="12"/>
  </w:num>
  <w:num w:numId="37">
    <w:abstractNumId w:val="147"/>
  </w:num>
  <w:num w:numId="38">
    <w:abstractNumId w:val="146"/>
  </w:num>
  <w:num w:numId="39">
    <w:abstractNumId w:val="139"/>
  </w:num>
  <w:num w:numId="40">
    <w:abstractNumId w:val="36"/>
  </w:num>
  <w:num w:numId="41">
    <w:abstractNumId w:val="133"/>
  </w:num>
  <w:num w:numId="42">
    <w:abstractNumId w:val="152"/>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4"/>
  </w:num>
  <w:num w:numId="56">
    <w:abstractNumId w:val="141"/>
  </w:num>
  <w:num w:numId="57">
    <w:abstractNumId w:val="33"/>
  </w:num>
  <w:num w:numId="58">
    <w:abstractNumId w:val="28"/>
  </w:num>
  <w:num w:numId="59">
    <w:abstractNumId w:val="153"/>
  </w:num>
  <w:num w:numId="60">
    <w:abstractNumId w:val="56"/>
  </w:num>
  <w:num w:numId="61">
    <w:abstractNumId w:val="74"/>
  </w:num>
  <w:num w:numId="62">
    <w:abstractNumId w:val="93"/>
  </w:num>
  <w:num w:numId="63">
    <w:abstractNumId w:val="112"/>
  </w:num>
  <w:num w:numId="64">
    <w:abstractNumId w:val="24"/>
  </w:num>
  <w:num w:numId="65">
    <w:abstractNumId w:val="134"/>
  </w:num>
  <w:num w:numId="66">
    <w:abstractNumId w:val="10"/>
  </w:num>
  <w:num w:numId="67">
    <w:abstractNumId w:val="1"/>
  </w:num>
  <w:num w:numId="68">
    <w:abstractNumId w:val="116"/>
  </w:num>
  <w:num w:numId="69">
    <w:abstractNumId w:val="31"/>
  </w:num>
  <w:num w:numId="70">
    <w:abstractNumId w:val="60"/>
  </w:num>
  <w:num w:numId="71">
    <w:abstractNumId w:val="110"/>
  </w:num>
  <w:num w:numId="72">
    <w:abstractNumId w:val="125"/>
  </w:num>
  <w:num w:numId="73">
    <w:abstractNumId w:val="117"/>
  </w:num>
  <w:num w:numId="74">
    <w:abstractNumId w:val="22"/>
  </w:num>
  <w:num w:numId="75">
    <w:abstractNumId w:val="122"/>
  </w:num>
  <w:num w:numId="76">
    <w:abstractNumId w:val="30"/>
  </w:num>
  <w:num w:numId="77">
    <w:abstractNumId w:val="122"/>
  </w:num>
  <w:num w:numId="78">
    <w:abstractNumId w:val="44"/>
  </w:num>
  <w:num w:numId="79">
    <w:abstractNumId w:val="40"/>
  </w:num>
  <w:num w:numId="80">
    <w:abstractNumId w:val="27"/>
  </w:num>
  <w:num w:numId="81">
    <w:abstractNumId w:val="91"/>
  </w:num>
  <w:num w:numId="82">
    <w:abstractNumId w:val="109"/>
  </w:num>
  <w:num w:numId="83">
    <w:abstractNumId w:val="140"/>
  </w:num>
  <w:num w:numId="84">
    <w:abstractNumId w:val="148"/>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9"/>
  </w:num>
  <w:num w:numId="96">
    <w:abstractNumId w:val="155"/>
  </w:num>
  <w:num w:numId="97">
    <w:abstractNumId w:val="66"/>
  </w:num>
  <w:num w:numId="98">
    <w:abstractNumId w:val="54"/>
  </w:num>
  <w:num w:numId="99">
    <w:abstractNumId w:val="156"/>
  </w:num>
  <w:num w:numId="100">
    <w:abstractNumId w:val="126"/>
  </w:num>
  <w:num w:numId="101">
    <w:abstractNumId w:val="108"/>
  </w:num>
  <w:num w:numId="102">
    <w:abstractNumId w:val="20"/>
  </w:num>
  <w:num w:numId="103">
    <w:abstractNumId w:val="145"/>
  </w:num>
  <w:num w:numId="104">
    <w:abstractNumId w:val="80"/>
  </w:num>
  <w:num w:numId="105">
    <w:abstractNumId w:val="9"/>
  </w:num>
  <w:num w:numId="106">
    <w:abstractNumId w:val="104"/>
  </w:num>
  <w:num w:numId="107">
    <w:abstractNumId w:val="70"/>
  </w:num>
  <w:num w:numId="108">
    <w:abstractNumId w:val="45"/>
  </w:num>
  <w:num w:numId="109">
    <w:abstractNumId w:val="105"/>
  </w:num>
  <w:num w:numId="110">
    <w:abstractNumId w:val="81"/>
  </w:num>
  <w:num w:numId="111">
    <w:abstractNumId w:val="71"/>
  </w:num>
  <w:num w:numId="112">
    <w:abstractNumId w:val="137"/>
  </w:num>
  <w:num w:numId="113">
    <w:abstractNumId w:val="75"/>
  </w:num>
  <w:num w:numId="114">
    <w:abstractNumId w:val="120"/>
  </w:num>
  <w:num w:numId="115">
    <w:abstractNumId w:val="73"/>
  </w:num>
  <w:num w:numId="116">
    <w:abstractNumId w:val="154"/>
  </w:num>
  <w:num w:numId="117">
    <w:abstractNumId w:val="98"/>
  </w:num>
  <w:num w:numId="118">
    <w:abstractNumId w:val="94"/>
  </w:num>
  <w:num w:numId="119">
    <w:abstractNumId w:val="144"/>
  </w:num>
  <w:num w:numId="120">
    <w:abstractNumId w:val="15"/>
  </w:num>
  <w:num w:numId="121">
    <w:abstractNumId w:val="17"/>
  </w:num>
  <w:num w:numId="122">
    <w:abstractNumId w:val="11"/>
  </w:num>
  <w:num w:numId="123">
    <w:abstractNumId w:val="21"/>
  </w:num>
  <w:num w:numId="124">
    <w:abstractNumId w:val="87"/>
  </w:num>
  <w:num w:numId="125">
    <w:abstractNumId w:val="102"/>
  </w:num>
  <w:num w:numId="126">
    <w:abstractNumId w:val="41"/>
  </w:num>
  <w:num w:numId="127">
    <w:abstractNumId w:val="113"/>
  </w:num>
  <w:num w:numId="128">
    <w:abstractNumId w:val="136"/>
  </w:num>
  <w:num w:numId="129">
    <w:abstractNumId w:val="101"/>
  </w:num>
  <w:num w:numId="130">
    <w:abstractNumId w:val="72"/>
  </w:num>
  <w:num w:numId="131">
    <w:abstractNumId w:val="18"/>
  </w:num>
  <w:num w:numId="132">
    <w:abstractNumId w:val="115"/>
  </w:num>
  <w:num w:numId="133">
    <w:abstractNumId w:val="135"/>
  </w:num>
  <w:num w:numId="134">
    <w:abstractNumId w:val="103"/>
  </w:num>
  <w:num w:numId="135">
    <w:abstractNumId w:val="151"/>
  </w:num>
  <w:num w:numId="136">
    <w:abstractNumId w:val="111"/>
  </w:num>
  <w:num w:numId="137">
    <w:abstractNumId w:val="65"/>
  </w:num>
  <w:num w:numId="138">
    <w:abstractNumId w:val="43"/>
  </w:num>
  <w:num w:numId="139">
    <w:abstractNumId w:val="82"/>
  </w:num>
  <w:num w:numId="140">
    <w:abstractNumId w:val="84"/>
  </w:num>
  <w:num w:numId="141">
    <w:abstractNumId w:val="129"/>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1"/>
  </w:num>
  <w:num w:numId="152">
    <w:abstractNumId w:val="127"/>
  </w:num>
  <w:num w:numId="153">
    <w:abstractNumId w:val="59"/>
  </w:num>
  <w:num w:numId="154">
    <w:abstractNumId w:val="78"/>
  </w:num>
  <w:num w:numId="155">
    <w:abstractNumId w:val="68"/>
  </w:num>
  <w:num w:numId="156">
    <w:abstractNumId w:val="76"/>
  </w:num>
  <w:num w:numId="157">
    <w:abstractNumId w:val="51"/>
  </w:num>
  <w:num w:numId="158">
    <w:abstractNumId w:val="121"/>
  </w:num>
  <w:num w:numId="159">
    <w:abstractNumId w:val="114"/>
  </w:num>
  <w:num w:numId="160">
    <w:abstractNumId w:val="85"/>
  </w:num>
  <w:num w:numId="161">
    <w:abstractNumId w:val="106"/>
  </w:num>
  <w:num w:numId="162">
    <w:abstractNumId w:val="13"/>
  </w:num>
  <w:num w:numId="163">
    <w:abstractNumId w:val="132"/>
  </w:num>
  <w:num w:numId="164">
    <w:abstractNumId w:val="10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TSG_RAN/TSGR_92e/Docs/RP-211569.zip" TargetMode="Externa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www.3gpp.org/ftp/tsg_ran/TSG_RAN/TSGR_90e/Docs/RP-202872.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8158F7B-3337-46F7-A944-D5DED10487DF}">
  <ds:schemaRefs>
    <ds:schemaRef ds:uri="http://schemas.openxmlformats.org/officeDocument/2006/bibliography"/>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74</Pages>
  <Words>66034</Words>
  <Characters>349983</Characters>
  <Application>Microsoft Office Word</Application>
  <DocSecurity>0</DocSecurity>
  <Lines>2916</Lines>
  <Paragraphs>830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415187</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Sorour Falahati</cp:lastModifiedBy>
  <cp:revision>5</cp:revision>
  <cp:lastPrinted>1901-01-01T19:00:00Z</cp:lastPrinted>
  <dcterms:created xsi:type="dcterms:W3CDTF">2021-08-19T17:49:00Z</dcterms:created>
  <dcterms:modified xsi:type="dcterms:W3CDTF">2021-08-19T18:39:00Z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