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xml:space="preserve">, LGE [18] </w:t>
      </w:r>
      <w:proofErr w:type="gramStart"/>
      <w:r w:rsidR="00A838AA">
        <w:t>(?,</w:t>
      </w:r>
      <w:proofErr w:type="gramEnd"/>
      <w:r w:rsidR="00A838AA">
        <w:t xml:space="preserve">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lastRenderedPageBreak/>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269.45pt" o:ole="">
                  <v:imagedata r:id="rId14" o:title=""/>
                </v:shape>
                <o:OLEObject Type="Embed" ProgID="PowerPoint.SlideMacroEnabled.12" ShapeID="_x0000_i1025" DrawAspect="Content" ObjectID="_1690901719"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w:t>
            </w:r>
            <w:proofErr w:type="gramStart"/>
            <w:r>
              <w:rPr>
                <w:kern w:val="2"/>
                <w:lang w:eastAsia="zh-CN"/>
              </w:rPr>
              <w:t>defer</w:t>
            </w:r>
            <w:proofErr w:type="gramEnd"/>
            <w:r>
              <w:rPr>
                <w:kern w:val="2"/>
                <w:lang w:eastAsia="zh-CN"/>
              </w:rPr>
              <w:t xml:space="preserve">.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 xml:space="preserve">n our understanding, SPS HARQ-ACK deferral is stopped when target slot is </w:t>
            </w:r>
            <w:proofErr w:type="gramStart"/>
            <w:r>
              <w:rPr>
                <w:kern w:val="2"/>
                <w:lang w:eastAsia="zh-CN"/>
              </w:rPr>
              <w:t>determined</w:t>
            </w:r>
            <w:proofErr w:type="gramEnd"/>
            <w:r>
              <w:rPr>
                <w:kern w:val="2"/>
                <w:lang w:eastAsia="zh-CN"/>
              </w:rPr>
              <w:t xml:space="preserve">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xml:space="preserve">,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w:t>
            </w:r>
            <w:proofErr w:type="gramStart"/>
            <w:r>
              <w:rPr>
                <w:color w:val="0070C0"/>
                <w:kern w:val="2"/>
                <w:lang w:eastAsia="zh-CN"/>
              </w:rPr>
              <w:t>So</w:t>
            </w:r>
            <w:proofErr w:type="gramEnd"/>
            <w:r>
              <w:rPr>
                <w:color w:val="0070C0"/>
                <w:kern w:val="2"/>
                <w:lang w:eastAsia="zh-CN"/>
              </w:rPr>
              <w:t xml:space="preserve"> the issue that CATT is raising is not just specific to HARQ ID collision, but a general issue. </w:t>
            </w:r>
            <w:r>
              <w:rPr>
                <w:color w:val="0070C0"/>
                <w:kern w:val="2"/>
                <w:lang w:eastAsia="zh-CN"/>
              </w:rPr>
              <w:br/>
              <w:t xml:space="preserve">At least from moderator perspective, </w:t>
            </w:r>
            <w:proofErr w:type="gramStart"/>
            <w:r>
              <w:rPr>
                <w:color w:val="0070C0"/>
                <w:kern w:val="2"/>
                <w:lang w:eastAsia="zh-CN"/>
              </w:rPr>
              <w:t>therefore</w:t>
            </w:r>
            <w:proofErr w:type="gramEnd"/>
            <w:r>
              <w:rPr>
                <w:color w:val="0070C0"/>
                <w:kern w:val="2"/>
                <w:lang w:eastAsia="zh-CN"/>
              </w:rPr>
              <w:t xml:space="preserv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w:t>
            </w:r>
            <w:proofErr w:type="gramStart"/>
            <w:r w:rsidRPr="009E2E87">
              <w:rPr>
                <w:color w:val="0070C0"/>
                <w:kern w:val="2"/>
                <w:lang w:eastAsia="zh-CN"/>
              </w:rPr>
              <w:t>considered</w:t>
            </w:r>
            <w:proofErr w:type="gramEnd"/>
            <w:r w:rsidRPr="009E2E87">
              <w:rPr>
                <w:color w:val="0070C0"/>
                <w:kern w:val="2"/>
                <w:lang w:eastAsia="zh-CN"/>
              </w:rPr>
              <w:t xml:space="preserve">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w:t>
            </w:r>
            <w:r w:rsidRPr="00D859AF">
              <w:rPr>
                <w:iCs/>
                <w:kern w:val="2"/>
                <w:lang w:eastAsia="zh-CN"/>
              </w:rPr>
              <w:lastRenderedPageBreak/>
              <w:t xml:space="preserve">conditions such as payload size accommodation, PUCCH format matching, when the multiplexing is </w:t>
            </w:r>
            <w:proofErr w:type="gramStart"/>
            <w:r w:rsidRPr="00D859AF">
              <w:rPr>
                <w:iCs/>
                <w:kern w:val="2"/>
                <w:lang w:eastAsia="zh-CN"/>
              </w:rPr>
              <w:t xml:space="preserve">taken into </w:t>
            </w:r>
            <w:r w:rsidR="00D8237E" w:rsidRPr="00D859AF">
              <w:rPr>
                <w:iCs/>
                <w:kern w:val="2"/>
                <w:lang w:eastAsia="zh-CN"/>
              </w:rPr>
              <w:t>account</w:t>
            </w:r>
            <w:proofErr w:type="gramEnd"/>
            <w:r w:rsidR="00D8237E" w:rsidRPr="00D859AF">
              <w:rPr>
                <w:iCs/>
                <w:kern w:val="2"/>
                <w:lang w:eastAsia="zh-CN"/>
              </w:rPr>
              <w: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 xml:space="preserve">I think it should be clear, but as there had been proposals going into this meeting that the overall codebook (containing </w:t>
            </w:r>
            <w:proofErr w:type="gramStart"/>
            <w:r>
              <w:rPr>
                <w:color w:val="0070C0"/>
                <w:kern w:val="2"/>
                <w:lang w:eastAsia="zh-CN"/>
              </w:rPr>
              <w:t>1..</w:t>
            </w:r>
            <w:proofErr w:type="gramEnd"/>
            <w:r>
              <w:rPr>
                <w:color w:val="0070C0"/>
                <w:kern w:val="2"/>
                <w:lang w:eastAsia="zh-CN"/>
              </w:rPr>
              <w:t>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 xml:space="preserve">‘new/initial’ SPS HARQ configured for </w:t>
            </w:r>
            <w:r w:rsidRPr="00373640">
              <w:rPr>
                <w:iCs/>
                <w:kern w:val="2"/>
                <w:lang w:eastAsia="zh-CN"/>
              </w:rPr>
              <w:lastRenderedPageBreak/>
              <w:t>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w:t>
            </w:r>
            <w:proofErr w:type="gramStart"/>
            <w:r w:rsidRPr="00F36150">
              <w:rPr>
                <w:color w:val="0070C0"/>
                <w:kern w:val="2"/>
                <w:lang w:eastAsia="zh-CN"/>
              </w:rPr>
              <w:t>here, but</w:t>
            </w:r>
            <w:proofErr w:type="gramEnd"/>
            <w:r w:rsidRPr="00F36150">
              <w:rPr>
                <w:color w:val="0070C0"/>
                <w:kern w:val="2"/>
                <w:lang w:eastAsia="zh-CN"/>
              </w:rPr>
              <w:t xml:space="preserve">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Moderator 2: Now I get it, sorry. Please note, that I still think the current formulation is fine (without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lastRenderedPageBreak/>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proofErr w:type="gramStart"/>
            <w:r w:rsidRPr="0086794E">
              <w:rPr>
                <w:iCs/>
                <w:kern w:val="2"/>
                <w:lang w:eastAsia="zh-CN"/>
              </w:rPr>
              <w:t>Also</w:t>
            </w:r>
            <w:proofErr w:type="gramEnd"/>
            <w:r w:rsidRPr="0086794E">
              <w:rPr>
                <w:iCs/>
                <w:kern w:val="2"/>
                <w:lang w:eastAsia="zh-CN"/>
              </w:rPr>
              <w:t xml:space="preserve">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 xml:space="preserve">The answers on Question 2.5 on total payload size not fitting the target slot, from the first round have been rather diverse over the options. Going from not an issue, payload size should be large enough (Alt. 4), over simple deferred </w:t>
      </w:r>
      <w:r w:rsidRPr="0076338B">
        <w:rPr>
          <w:lang w:val="en-US" w:eastAsia="zh-CN"/>
        </w:rPr>
        <w:lastRenderedPageBreak/>
        <w:t>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61E85CE2"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r>
              <w:rPr>
                <w:iCs/>
                <w:kern w:val="2"/>
                <w:lang w:eastAsia="zh-CN"/>
              </w:rPr>
              <w:t>a</w:t>
            </w:r>
            <w:proofErr w:type="spell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03071B" w:rsidRDefault="0003071B" w:rsidP="0003071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03071B" w:rsidRDefault="0003071B" w:rsidP="0003071B">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lastRenderedPageBreak/>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lastRenderedPageBreak/>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xml:space="preserve">, </w:t>
            </w:r>
            <w:r w:rsidR="00166EE4">
              <w:rPr>
                <w:iCs/>
                <w:kern w:val="2"/>
                <w:lang w:eastAsia="zh-CN"/>
              </w:rPr>
              <w:lastRenderedPageBreak/>
              <w:t>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lastRenderedPageBreak/>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w:t>
            </w:r>
            <w:r>
              <w:rPr>
                <w:rFonts w:eastAsia="MS Mincho"/>
                <w:kern w:val="2"/>
                <w:lang w:eastAsia="ja-JP"/>
              </w:rPr>
              <w:lastRenderedPageBreak/>
              <w:t xml:space="preserve">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lastRenderedPageBreak/>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lastRenderedPageBreak/>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lastRenderedPageBreak/>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w:t>
            </w:r>
            <w:r w:rsidRPr="00FE4BF5">
              <w:rPr>
                <w:rFonts w:eastAsiaTheme="minorEastAsia"/>
                <w:iCs/>
                <w:color w:val="8064A2" w:themeColor="accent4"/>
                <w:kern w:val="2"/>
                <w:lang w:eastAsia="zh-CN"/>
              </w:rPr>
              <w:lastRenderedPageBreak/>
              <w:t xml:space="preserve">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w:t>
            </w:r>
            <w:r>
              <w:rPr>
                <w:iCs/>
                <w:color w:val="0070C0"/>
                <w:kern w:val="2"/>
                <w:lang w:val="en-US" w:eastAsia="zh-CN"/>
              </w:rPr>
              <w:lastRenderedPageBreak/>
              <w:t xml:space="preserve">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lastRenderedPageBreak/>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e.g. the HARQ-ID field could be used to </w:t>
            </w:r>
            <w:proofErr w:type="gramStart"/>
            <w:r>
              <w:rPr>
                <w:iCs/>
                <w:kern w:val="2"/>
                <w:lang w:eastAsia="zh-CN"/>
              </w:rPr>
              <w:t>indicated</w:t>
            </w:r>
            <w:proofErr w:type="gramEnd"/>
            <w:r>
              <w:rPr>
                <w:iCs/>
                <w:kern w:val="2"/>
                <w:lang w:eastAsia="zh-CN"/>
              </w:rPr>
              <w:t xml:space="preserve">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lastRenderedPageBreak/>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lastRenderedPageBreak/>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proofErr w:type="spellStart"/>
      <w:r w:rsidRPr="009564DA">
        <w:rPr>
          <w:b/>
          <w:bCs/>
          <w:lang w:val="it-IT" w:eastAsia="zh-CN"/>
        </w:rPr>
        <w:t>Supporting</w:t>
      </w:r>
      <w:proofErr w:type="spellEnd"/>
      <w:r w:rsidRPr="009564DA">
        <w:rPr>
          <w:b/>
          <w:bCs/>
          <w:lang w:val="it-IT" w:eastAsia="zh-CN"/>
        </w:rPr>
        <w:t xml:space="preserve"> companies: ZTE, DOCOMO, </w:t>
      </w:r>
      <w:proofErr w:type="spellStart"/>
      <w:r w:rsidRPr="009564DA">
        <w:rPr>
          <w:b/>
          <w:bCs/>
          <w:lang w:val="it-IT" w:eastAsia="zh-CN"/>
        </w:rPr>
        <w:t>Lenovo</w:t>
      </w:r>
      <w:proofErr w:type="spellEnd"/>
      <w:r w:rsidRPr="009564DA">
        <w:rPr>
          <w:b/>
          <w:bCs/>
          <w:lang w:val="it-IT" w:eastAsia="zh-CN"/>
        </w:rPr>
        <w:t xml:space="preserve">/Motorola </w:t>
      </w:r>
      <w:proofErr w:type="spellStart"/>
      <w:r w:rsidRPr="009564DA">
        <w:rPr>
          <w:b/>
          <w:bCs/>
          <w:lang w:val="it-IT" w:eastAsia="zh-CN"/>
        </w:rPr>
        <w:t>Mobility</w:t>
      </w:r>
      <w:proofErr w:type="spellEnd"/>
      <w:r w:rsidRPr="009564DA">
        <w:rPr>
          <w:b/>
          <w:bCs/>
          <w:lang w:val="it-IT" w:eastAsia="zh-CN"/>
        </w:rPr>
        <w:t xml:space="preserve">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lastRenderedPageBreak/>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 xml:space="preserve">k for PHY priority handling discussed in Question 3.2, a strong majority suggested to only support a single structure / size (i.e.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w:t>
            </w:r>
            <w:r>
              <w:rPr>
                <w:iCs/>
                <w:kern w:val="2"/>
                <w:lang w:eastAsia="zh-CN"/>
              </w:rPr>
              <w:lastRenderedPageBreak/>
              <w:t xml:space="preserve">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 xml:space="preserve">We don’t consider eType3 CB and one-shot triggering to be complementing each other, thus eType3 CB is preferred to have the capability of dynamic switching between at least two different </w:t>
            </w:r>
            <w:r>
              <w:rPr>
                <w:iCs/>
                <w:kern w:val="2"/>
                <w:lang w:eastAsia="zh-CN"/>
              </w:rPr>
              <w:lastRenderedPageBreak/>
              <w:t>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217D2F" w:rsidRDefault="00217D2F" w:rsidP="00217D2F">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gNB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lastRenderedPageBreak/>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lastRenderedPageBreak/>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lastRenderedPageBreak/>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xml:space="preserve">, </w:t>
            </w:r>
            <w:r w:rsidR="0073262C">
              <w:rPr>
                <w:iCs/>
                <w:kern w:val="2"/>
                <w:lang w:eastAsia="zh-CN"/>
              </w:rPr>
              <w:lastRenderedPageBreak/>
              <w:t>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lastRenderedPageBreak/>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CC43ED1"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proofErr w:type="spellStart"/>
            <w:r>
              <w:rPr>
                <w:rFonts w:hint="eastAsia"/>
                <w:iCs/>
                <w:kern w:val="2"/>
                <w:lang w:eastAsia="zh-CN"/>
              </w:rPr>
              <w:t>D</w:t>
            </w:r>
            <w:r>
              <w:rPr>
                <w:iCs/>
                <w:kern w:val="2"/>
                <w:lang w:eastAsia="zh-CN"/>
              </w:rPr>
              <w:t>OCOMO</w:t>
            </w:r>
            <w:r w:rsidR="00782E75">
              <w:rPr>
                <w:iCs/>
                <w:kern w:val="2"/>
                <w:lang w:eastAsia="zh-CN"/>
              </w:rPr>
              <w:t>,Xiaomi</w:t>
            </w:r>
            <w:proofErr w:type="spellEnd"/>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lastRenderedPageBreak/>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lastRenderedPageBreak/>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lastRenderedPageBreak/>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lastRenderedPageBreak/>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proofErr w:type="gramStart"/>
      <w:r w:rsidRPr="00561161">
        <w:rPr>
          <w:b/>
          <w:bCs/>
        </w:rPr>
        <w:t>there</w:t>
      </w:r>
      <w:proofErr w:type="spellEnd"/>
      <w:proofErr w:type="gram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lastRenderedPageBreak/>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lastRenderedPageBreak/>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w:t>
            </w:r>
            <w:r>
              <w:rPr>
                <w:iCs/>
                <w:kern w:val="2"/>
                <w:lang w:eastAsia="zh-CN"/>
              </w:rPr>
              <w:lastRenderedPageBreak/>
              <w:t xml:space="preserve">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lastRenderedPageBreak/>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lastRenderedPageBreak/>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lastRenderedPageBreak/>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lastRenderedPageBreak/>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lastRenderedPageBreak/>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lastRenderedPageBreak/>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w:t>
            </w:r>
            <w:proofErr w:type="gramStart"/>
            <w:r>
              <w:rPr>
                <w:iCs/>
                <w:kern w:val="2"/>
                <w:lang w:eastAsia="zh-CN"/>
              </w:rPr>
              <w:t>sufficient</w:t>
            </w:r>
            <w:proofErr w:type="gramEnd"/>
            <w:r>
              <w:rPr>
                <w:iCs/>
                <w:kern w:val="2"/>
                <w:lang w:eastAsia="zh-CN"/>
              </w:rPr>
              <w:t xml:space="preserve">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 and</w:t>
      </w:r>
      <w:proofErr w:type="gramEnd"/>
      <w:r w:rsidRPr="004046F5">
        <w:rPr>
          <w:b/>
          <w:bCs/>
        </w:rPr>
        <w:t xml:space="preserve">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w:t>
            </w:r>
            <w:r>
              <w:rPr>
                <w:rFonts w:eastAsia="Malgun Gothic"/>
                <w:iCs/>
                <w:color w:val="00B0F0"/>
                <w:kern w:val="2"/>
                <w:lang w:eastAsia="ko-KR"/>
              </w:rPr>
              <w:lastRenderedPageBreak/>
              <w:t xml:space="preserve">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xml:space="preserve">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 and</w:t>
      </w:r>
      <w:proofErr w:type="gramEnd"/>
      <w:r w:rsidR="008D3352" w:rsidRPr="004046F5">
        <w:rPr>
          <w:b/>
          <w:bCs/>
        </w:rPr>
        <w:t xml:space="preserve">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semi-statically configured PUCCH cell (other than P</w:t>
      </w:r>
      <w:r w:rsidR="0016147A">
        <w:rPr>
          <w:lang w:eastAsia="zh-CN"/>
        </w:rPr>
        <w:t>c</w:t>
      </w:r>
      <w:r>
        <w:rPr>
          <w:lang w:eastAsia="zh-CN"/>
        </w:rPr>
        <w:t>ell/</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lastRenderedPageBreak/>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DF1EFB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 xml:space="preserve">Moderator: see also comment to 6.4, if 6.7 is agreed also I guess this is what Samsung is having in </w:t>
            </w:r>
            <w:r w:rsidRPr="00BA4EFF">
              <w:rPr>
                <w:iCs/>
                <w:color w:val="0070C0"/>
                <w:kern w:val="2"/>
                <w:lang w:eastAsia="zh-CN"/>
              </w:rPr>
              <w:lastRenderedPageBreak/>
              <w:t>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w:t>
            </w:r>
            <w:r w:rsidR="00F70FB6">
              <w:rPr>
                <w:iCs/>
                <w:kern w:val="2"/>
                <w:lang w:eastAsia="zh-CN"/>
              </w:rPr>
              <w:lastRenderedPageBreak/>
              <w:t xml:space="preserve">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SCell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lastRenderedPageBreak/>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7DCDF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lastRenderedPageBreak/>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lastRenderedPageBreak/>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553ACBA6"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 xml:space="preserve">dynamic target carrier indication also applies </w:t>
            </w:r>
            <w:r>
              <w:rPr>
                <w:b/>
                <w:bCs/>
                <w:sz w:val="22"/>
                <w:szCs w:val="22"/>
                <w:lang w:eastAsia="zh-CN"/>
              </w:rPr>
              <w:lastRenderedPageBreak/>
              <w:t>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lastRenderedPageBreak/>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lastRenderedPageBreak/>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lastRenderedPageBreak/>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lastRenderedPageBreak/>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lastRenderedPageBreak/>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w:t>
      </w:r>
      <w:proofErr w:type="gramStart"/>
      <w:r>
        <w:rPr>
          <w:b/>
          <w:i/>
          <w:lang w:eastAsia="zh-CN"/>
        </w:rPr>
        <w:t>no any</w:t>
      </w:r>
      <w:proofErr w:type="gramEnd"/>
      <w:r>
        <w:rPr>
          <w:b/>
          <w:i/>
          <w:lang w:eastAsia="zh-CN"/>
        </w:rPr>
        <w:t xml:space="preserve">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lastRenderedPageBreak/>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w:t>
      </w:r>
      <w:proofErr w:type="gramStart"/>
      <w:r>
        <w:rPr>
          <w:b/>
          <w:bCs/>
        </w:rPr>
        <w:t>PUCCH, in case</w:t>
      </w:r>
      <w:proofErr w:type="gramEnd"/>
      <w:r>
        <w:rPr>
          <w:b/>
          <w:bCs/>
        </w:rPr>
        <w:t xml:space="preserv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w:t>
      </w:r>
      <w:proofErr w:type="gramStart"/>
      <w:r>
        <w:t>indicates</w:t>
      </w:r>
      <w:proofErr w:type="gramEnd"/>
      <w:r>
        <w:t xml:space="preserve">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04B6" w14:textId="77777777" w:rsidR="007E5E7B" w:rsidRDefault="007E5E7B">
      <w:r>
        <w:separator/>
      </w:r>
    </w:p>
  </w:endnote>
  <w:endnote w:type="continuationSeparator" w:id="0">
    <w:p w14:paraId="4F84A60C" w14:textId="77777777" w:rsidR="007E5E7B" w:rsidRDefault="007E5E7B">
      <w:r>
        <w:continuationSeparator/>
      </w:r>
    </w:p>
  </w:endnote>
  <w:endnote w:type="continuationNotice" w:id="1">
    <w:p w14:paraId="5709544E" w14:textId="77777777" w:rsidR="007E5E7B" w:rsidRDefault="007E5E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Content>
      <w:p w14:paraId="42F76C3F" w14:textId="3EAF867F" w:rsidR="0051320B" w:rsidRDefault="0051320B">
        <w:pPr>
          <w:pStyle w:val="Footer"/>
        </w:pPr>
        <w:r>
          <w:fldChar w:fldCharType="begin"/>
        </w:r>
        <w:r>
          <w:instrText>PAGE   \* MERGEFORMAT</w:instrText>
        </w:r>
        <w:r>
          <w:fldChar w:fldCharType="separate"/>
        </w:r>
        <w:r w:rsidRPr="00D8237E">
          <w:rPr>
            <w:lang w:val="zh-CN" w:eastAsia="zh-CN"/>
          </w:rPr>
          <w:t>123</w:t>
        </w:r>
        <w:r>
          <w:fldChar w:fldCharType="end"/>
        </w:r>
      </w:p>
    </w:sdtContent>
  </w:sdt>
  <w:p w14:paraId="00A820FC" w14:textId="77777777" w:rsidR="0051320B" w:rsidRDefault="0051320B">
    <w:pPr>
      <w:pStyle w:val="Footer"/>
    </w:pPr>
  </w:p>
  <w:p w14:paraId="4A48D3F3" w14:textId="77777777" w:rsidR="0051320B" w:rsidRDefault="0051320B"/>
  <w:p w14:paraId="46E31D82" w14:textId="77777777" w:rsidR="0051320B" w:rsidRDefault="00513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25A40" w14:textId="77777777" w:rsidR="007E5E7B" w:rsidRDefault="007E5E7B">
      <w:r>
        <w:separator/>
      </w:r>
    </w:p>
  </w:footnote>
  <w:footnote w:type="continuationSeparator" w:id="0">
    <w:p w14:paraId="6E79EC8A" w14:textId="77777777" w:rsidR="007E5E7B" w:rsidRDefault="007E5E7B">
      <w:r>
        <w:continuationSeparator/>
      </w:r>
    </w:p>
  </w:footnote>
  <w:footnote w:type="continuationNotice" w:id="1">
    <w:p w14:paraId="4AE0F9D5" w14:textId="77777777" w:rsidR="007E5E7B" w:rsidRDefault="007E5E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51320B" w:rsidRDefault="0051320B">
    <w:pPr>
      <w:pStyle w:val="Header"/>
      <w:tabs>
        <w:tab w:val="right" w:pos="9639"/>
      </w:tabs>
    </w:pPr>
    <w:r>
      <w:tab/>
    </w:r>
  </w:p>
  <w:p w14:paraId="246D48EC" w14:textId="77777777" w:rsidR="0051320B" w:rsidRDefault="0051320B"/>
  <w:p w14:paraId="4F6F578E" w14:textId="77777777" w:rsidR="0051320B" w:rsidRDefault="00513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CAA40AC8-609C-40F0-A88D-8E3010F4E8CE}">
  <ds:schemaRefs>
    <ds:schemaRef ds:uri="http://schemas.openxmlformats.org/officeDocument/2006/bibliography"/>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166</Pages>
  <Words>60095</Words>
  <Characters>342543</Characters>
  <Application>Microsoft Office Word</Application>
  <DocSecurity>0</DocSecurity>
  <Lines>2854</Lines>
  <Paragraphs>803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401835</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3</cp:revision>
  <cp:lastPrinted>1901-01-01T19:00:00Z</cp:lastPrinted>
  <dcterms:created xsi:type="dcterms:W3CDTF">2021-08-19T16:03:00Z</dcterms:created>
  <dcterms:modified xsi:type="dcterms:W3CDTF">2021-08-19T16:09:00Z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