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ml:space="preserve">, </w:t>
      </w:r>
      <w:proofErr w:type="spellStart"/>
      <w:r w:rsidR="00C25F22">
        <w:rPr>
          <w:lang w:eastAsia="zh-CN"/>
        </w:rPr>
        <w:t>Xiaomi</w:t>
      </w:r>
      <w:proofErr w:type="spellEnd"/>
      <w:r w:rsidR="00C25F22">
        <w:rPr>
          <w:lang w:eastAsia="zh-CN"/>
        </w:rPr>
        <w:t xml:space="preserve">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w:t>
      </w:r>
      <w:proofErr w:type="spellStart"/>
      <w:r>
        <w:rPr>
          <w:lang w:eastAsia="zh-CN"/>
        </w:rPr>
        <w:t>Ack</w:t>
      </w:r>
      <w:proofErr w:type="spellEnd"/>
      <w:r>
        <w:rPr>
          <w:lang w:eastAsia="zh-CN"/>
        </w:rPr>
        <w:t xml:space="preserve">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lastRenderedPageBreak/>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w:t>
      </w:r>
      <w:proofErr w:type="spellStart"/>
      <w:r>
        <w:t>Xiaomi</w:t>
      </w:r>
      <w:proofErr w:type="spellEnd"/>
      <w:r>
        <w:t xml:space="preserve">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spellStart"/>
            <w:r w:rsidRPr="00DB0246">
              <w:rPr>
                <w:bCs/>
                <w:sz w:val="22"/>
                <w:szCs w:val="22"/>
                <w:vertAlign w:val="subscript"/>
                <w:lang w:eastAsia="zh-CN"/>
              </w:rPr>
              <w:t>def</w:t>
            </w:r>
            <w:proofErr w:type="spellEnd"/>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w:t>
            </w:r>
            <w:proofErr w:type="spellStart"/>
            <w:r>
              <w:rPr>
                <w:rFonts w:eastAsiaTheme="minorEastAsia"/>
                <w:iCs/>
                <w:kern w:val="2"/>
                <w:lang w:eastAsia="zh-CN"/>
              </w:rPr>
              <w:t>config</w:t>
            </w:r>
            <w:proofErr w:type="spellEnd"/>
            <w:r>
              <w:rPr>
                <w:rFonts w:eastAsiaTheme="minorEastAsia"/>
                <w:iCs/>
                <w:kern w:val="2"/>
                <w:lang w:eastAsia="zh-CN"/>
              </w:rPr>
              <w:t>,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w:t>
            </w:r>
            <w:proofErr w:type="spellStart"/>
            <w:r>
              <w:rPr>
                <w:kern w:val="2"/>
                <w:lang w:eastAsia="zh-CN"/>
              </w:rPr>
              <w:t>Tx</w:t>
            </w:r>
            <w:proofErr w:type="spellEnd"/>
            <w:r>
              <w:rPr>
                <w:kern w:val="2"/>
                <w:lang w:eastAsia="zh-CN"/>
              </w:rPr>
              <w:t xml:space="preserve">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69.9pt" o:ole="">
                  <v:imagedata r:id="rId14" o:title=""/>
                </v:shape>
                <o:OLEObject Type="Embed" ProgID="PowerPoint.SlideMacroEnabled.12" ShapeID="_x0000_i1025" DrawAspect="Content" ObjectID="_1690911886"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xml:space="preserve">, reserving an unused resource for up to 4 </w:t>
            </w:r>
            <w:proofErr w:type="spellStart"/>
            <w:r w:rsidRPr="00C03B17">
              <w:rPr>
                <w:sz w:val="16"/>
                <w:szCs w:val="16"/>
                <w:lang w:eastAsia="zh-CN"/>
              </w:rPr>
              <w:t>msec</w:t>
            </w:r>
            <w:proofErr w:type="spellEnd"/>
            <w:r w:rsidRPr="00C03B17">
              <w:rPr>
                <w:sz w:val="16"/>
                <w:szCs w:val="16"/>
                <w:lang w:eastAsia="zh-CN"/>
              </w:rPr>
              <w:t xml:space="preserve">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 xml:space="preserve">As mentioned by </w:t>
            </w:r>
            <w:proofErr w:type="spellStart"/>
            <w:r>
              <w:rPr>
                <w:lang w:eastAsia="zh-CN"/>
              </w:rPr>
              <w:t>Oppo</w:t>
            </w:r>
            <w:proofErr w:type="spellEnd"/>
            <w:r>
              <w:rPr>
                <w:lang w:eastAsia="zh-CN"/>
              </w:rPr>
              <w:t>,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C465AB6"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xml:space="preserve">,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4E22EE4A" w14:textId="3C5025B5" w:rsidR="00217D2F" w:rsidRDefault="00AD53AF" w:rsidP="00AD53AF">
            <w:pPr>
              <w:widowControl w:val="0"/>
              <w:spacing w:beforeLines="50" w:before="120"/>
              <w:rPr>
                <w:kern w:val="2"/>
                <w:lang w:eastAsia="zh-CN"/>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proofErr w:type="spellStart"/>
            <w:r w:rsidRPr="00DB0246">
              <w:rPr>
                <w:bCs/>
                <w:sz w:val="22"/>
                <w:szCs w:val="22"/>
                <w:vertAlign w:val="subscript"/>
                <w:lang w:eastAsia="zh-CN"/>
              </w:rPr>
              <w:t>def</w:t>
            </w:r>
            <w:proofErr w:type="spellEnd"/>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217D2F"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217D2F" w:rsidRDefault="00217D2F" w:rsidP="00217D2F">
            <w:pPr>
              <w:widowControl w:val="0"/>
              <w:spacing w:beforeLines="50" w:before="120"/>
              <w:rPr>
                <w:kern w:val="2"/>
                <w:lang w:eastAsia="zh-CN"/>
              </w:rPr>
            </w:pP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lastRenderedPageBreak/>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8E0040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lastRenderedPageBreak/>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1"/>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1"/>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1"/>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1"/>
              <w:numPr>
                <w:ilvl w:val="1"/>
                <w:numId w:val="95"/>
              </w:numPr>
              <w:spacing w:beforeLines="50" w:before="120"/>
              <w:rPr>
                <w:kern w:val="2"/>
                <w:lang w:eastAsia="zh-CN"/>
              </w:rPr>
            </w:pPr>
            <w:r>
              <w:rPr>
                <w:rFonts w:eastAsia="Malgun Gothic"/>
                <w:iCs/>
                <w:kern w:val="2"/>
                <w:lang w:eastAsia="ko-KR"/>
              </w:rPr>
              <w:t>This is connected to CP 2.4.</w:t>
            </w: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EC9B778" w14:textId="7678C213"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 xml:space="preserve">Nokia/NSB, OPPO, vivo, Panasonic, Intel, Sharp, DOCOMO, CATT, China telecom, </w:t>
            </w:r>
            <w:r w:rsidRPr="00CB20E6">
              <w:rPr>
                <w:iCs/>
                <w:kern w:val="2"/>
                <w:lang w:eastAsia="zh-CN"/>
              </w:rPr>
              <w:lastRenderedPageBreak/>
              <w:t>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33C0C19D" w14:textId="77777777" w:rsidR="00A37A5F" w:rsidRDefault="00A37A5F" w:rsidP="00FD25E2">
            <w:pPr>
              <w:widowControl w:val="0"/>
              <w:spacing w:beforeLines="50" w:before="120"/>
              <w:rPr>
                <w:kern w:val="2"/>
                <w:lang w:eastAsia="zh-CN"/>
              </w:rPr>
            </w:pP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1D821B5C" w14:textId="7661FD76" w:rsidR="00217D2F" w:rsidRDefault="00217D2F" w:rsidP="00217D2F">
            <w:pPr>
              <w:widowControl w:val="0"/>
              <w:spacing w:beforeLines="50" w:before="120"/>
              <w:rPr>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217D2F" w:rsidRDefault="00217D2F" w:rsidP="00217D2F">
            <w:pPr>
              <w:widowControl w:val="0"/>
              <w:spacing w:beforeLines="50" w:before="120"/>
              <w:rPr>
                <w:iCs/>
                <w:kern w:val="2"/>
                <w:lang w:eastAsia="zh-CN"/>
              </w:rPr>
            </w:pPr>
          </w:p>
        </w:tc>
      </w:tr>
      <w:tr w:rsidR="00217D2F"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217D2F" w:rsidRDefault="00217D2F" w:rsidP="00217D2F">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504E9DA1" w:rsidR="003046AB" w:rsidRDefault="00217D2F" w:rsidP="003D17A8">
            <w:pPr>
              <w:widowControl w:val="0"/>
              <w:spacing w:beforeLines="50" w:before="120"/>
              <w:rPr>
                <w:kern w:val="2"/>
                <w:lang w:eastAsia="zh-CN"/>
              </w:rPr>
            </w:pPr>
            <w:r>
              <w:rPr>
                <w:rFonts w:hint="eastAsia"/>
                <w:kern w:val="2"/>
                <w:lang w:eastAsia="zh-CN"/>
              </w:rPr>
              <w:t>v</w:t>
            </w:r>
            <w:r>
              <w:rPr>
                <w:kern w:val="2"/>
                <w:lang w:eastAsia="zh-CN"/>
              </w:rPr>
              <w:t>ivo</w:t>
            </w: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4FEE5CFB" w14:textId="1020540F" w:rsidR="00217D2F" w:rsidRDefault="00217D2F" w:rsidP="00217D2F">
            <w:pPr>
              <w:spacing w:beforeLines="50" w:before="120"/>
              <w:rPr>
                <w:iCs/>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w:t>
            </w:r>
            <w:r w:rsidRPr="0086794E">
              <w:rPr>
                <w:iCs/>
                <w:kern w:val="2"/>
                <w:lang w:eastAsia="zh-CN"/>
              </w:rPr>
              <w: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217D2F"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217D2F" w:rsidRDefault="00217D2F" w:rsidP="00217D2F">
            <w:pPr>
              <w:widowControl w:val="0"/>
              <w:spacing w:beforeLines="50" w:before="120"/>
              <w:rPr>
                <w:kern w:val="2"/>
                <w:lang w:eastAsia="zh-CN"/>
              </w:rPr>
            </w:pP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71849FFF"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55F6D60F"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w:t>
            </w:r>
            <w:r w:rsidRPr="00AD53AF">
              <w:rPr>
                <w:kern w:val="2"/>
                <w:lang w:eastAsia="zh-CN"/>
              </w:rPr>
              <w:lastRenderedPageBreak/>
              <w:t xml:space="preserve">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lastRenderedPageBreak/>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xml:space="preserve">, </w:t>
      </w:r>
      <w:proofErr w:type="spellStart"/>
      <w:r w:rsidR="00EC2B76">
        <w:rPr>
          <w:lang w:eastAsia="zh-CN"/>
        </w:rPr>
        <w:t>Interdigital</w:t>
      </w:r>
      <w:proofErr w:type="spellEnd"/>
      <w:r w:rsidR="00EC2B76">
        <w:rPr>
          <w:lang w:eastAsia="zh-CN"/>
        </w:rPr>
        <w:t xml:space="preserve">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proofErr w:type="spellStart"/>
      <w:r w:rsidR="0064545D">
        <w:rPr>
          <w:lang w:eastAsia="zh-CN"/>
        </w:rPr>
        <w:t>Interdigital</w:t>
      </w:r>
      <w:proofErr w:type="spellEnd"/>
      <w:r w:rsidR="0064545D">
        <w:rPr>
          <w:lang w:eastAsia="zh-CN"/>
        </w:rPr>
        <w:t xml:space="preserve">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 xml:space="preserve">For a triggering DCI not scheduling PDSCH, some unused bit-field can be used to indicate the PHY priority: </w:t>
      </w:r>
      <w:proofErr w:type="spellStart"/>
      <w:r>
        <w:rPr>
          <w:lang w:eastAsia="zh-CN"/>
        </w:rPr>
        <w:t>Interdigital</w:t>
      </w:r>
      <w:proofErr w:type="spellEnd"/>
      <w:r>
        <w:rPr>
          <w:lang w:eastAsia="zh-CN"/>
        </w:rPr>
        <w:t xml:space="preserve">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lastRenderedPageBreak/>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w:t>
      </w:r>
      <w:proofErr w:type="spellStart"/>
      <w:r w:rsidR="00A87F06">
        <w:rPr>
          <w:szCs w:val="18"/>
          <w:lang w:val="en-US" w:eastAsia="zh-CN"/>
        </w:rPr>
        <w:t>Ack</w:t>
      </w:r>
      <w:proofErr w:type="spellEnd"/>
      <w:r w:rsidR="00A87F06">
        <w:rPr>
          <w:szCs w:val="18"/>
          <w:lang w:val="en-US" w:eastAsia="zh-CN"/>
        </w:rPr>
        <w:t xml:space="preserve">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lastRenderedPageBreak/>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proofErr w:type="spellStart"/>
      <w:r w:rsidRPr="001322F6">
        <w:rPr>
          <w:sz w:val="22"/>
          <w:lang w:val="en-US" w:eastAsia="zh-CN"/>
        </w:rPr>
        <w:t>Interdigital</w:t>
      </w:r>
      <w:proofErr w:type="spellEnd"/>
      <w:r w:rsidRPr="001322F6">
        <w:rPr>
          <w:sz w:val="22"/>
          <w:lang w:val="en-US" w:eastAsia="zh-CN"/>
        </w:rPr>
        <w:t xml:space="preserve">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lastRenderedPageBreak/>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lastRenderedPageBreak/>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gNB to have a crystal ball to know which HARQ Process ID would be </w:t>
            </w:r>
            <w:r>
              <w:rPr>
                <w:kern w:val="2"/>
                <w:lang w:eastAsia="zh-CN"/>
              </w:rPr>
              <w:lastRenderedPageBreak/>
              <w:t>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5 and Alt 6 is NOT a Type 3 based CB.  We already agreed that Type 3 CB arranged according to a set of fixed HARQ Process ID.  The SPS HARQ Process IDs are dynamically determined (depending on which slot it is transmitted, periodicity, number of HARQ processes, </w:t>
            </w:r>
            <w:proofErr w:type="spellStart"/>
            <w:r>
              <w:rPr>
                <w:kern w:val="2"/>
                <w:lang w:eastAsia="zh-CN"/>
              </w:rPr>
              <w:t>etc</w:t>
            </w:r>
            <w:proofErr w:type="spellEnd"/>
            <w:r>
              <w:rPr>
                <w:kern w:val="2"/>
                <w:lang w:eastAsia="zh-CN"/>
              </w:rPr>
              <w:t>).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a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xml:space="preserve">, </w:t>
            </w:r>
            <w:r w:rsidR="007D4654">
              <w:rPr>
                <w:iCs/>
                <w:kern w:val="2"/>
                <w:lang w:eastAsia="zh-CN"/>
              </w:rPr>
              <w:lastRenderedPageBreak/>
              <w:t>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lastRenderedPageBreak/>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lastRenderedPageBreak/>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lastRenderedPageBreak/>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lastRenderedPageBreak/>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 xml:space="preserve">Alt.1 is probably sufficient but may conclude this at a later time after deciding on scheduling/non-scheduling DCI or on available bits for indication. It may also relate to similar decisions made for HARQ-ACK skipping. Nevertheless, if things need to be progressed now, </w:t>
            </w:r>
            <w:r>
              <w:rPr>
                <w:iCs/>
                <w:kern w:val="2"/>
                <w:lang w:eastAsia="zh-CN"/>
              </w:rPr>
              <w:lastRenderedPageBreak/>
              <w:t>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lastRenderedPageBreak/>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 xml:space="preserve">For example, a </w:t>
            </w:r>
            <w:proofErr w:type="spellStart"/>
            <w:r w:rsidRPr="00BE3F0D">
              <w:rPr>
                <w:iCs/>
                <w:kern w:val="2"/>
                <w:lang w:eastAsia="zh-CN"/>
              </w:rPr>
              <w:t>codepoint</w:t>
            </w:r>
            <w:proofErr w:type="spellEnd"/>
            <w:r w:rsidRPr="00BE3F0D">
              <w:rPr>
                <w:iCs/>
                <w:kern w:val="2"/>
                <w:lang w:eastAsia="zh-CN"/>
              </w:rPr>
              <w:t xml:space="preserve">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xml:space="preserve">, </w:t>
            </w:r>
            <w:r w:rsidR="00615222">
              <w:rPr>
                <w:rFonts w:hint="eastAsia"/>
                <w:iCs/>
                <w:kern w:val="2"/>
                <w:lang w:eastAsia="zh-CN"/>
              </w:rPr>
              <w:lastRenderedPageBreak/>
              <w:t>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235EC6E1"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xml:space="preserve">, </w:t>
            </w:r>
            <w:r>
              <w:rPr>
                <w:lang w:val="en-US" w:eastAsia="zh-CN"/>
              </w:rPr>
              <w:lastRenderedPageBreak/>
              <w:t>Ericsson</w:t>
            </w:r>
            <w:r w:rsidR="00AD53AF">
              <w:rPr>
                <w:lang w:val="en-US" w:eastAsia="zh-CN"/>
              </w:rPr>
              <w:t>, China Telecom</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32E23D65" w14:textId="2AE7B079" w:rsidR="00E01E3B" w:rsidRDefault="00E01E3B" w:rsidP="00E01E3B">
            <w:pPr>
              <w:widowControl w:val="0"/>
              <w:spacing w:beforeLines="50" w:before="120"/>
              <w:rPr>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lastRenderedPageBreak/>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1"/>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lastRenderedPageBreak/>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proofErr w:type="spellStart"/>
            <w:r>
              <w:rPr>
                <w:rFonts w:hint="eastAsia"/>
                <w:kern w:val="2"/>
                <w:lang w:eastAsia="zh-CN"/>
              </w:rPr>
              <w:lastRenderedPageBreak/>
              <w:t>X</w:t>
            </w:r>
            <w:r>
              <w:rPr>
                <w:kern w:val="2"/>
                <w:lang w:eastAsia="zh-CN"/>
              </w:rPr>
              <w:t>iaomi</w:t>
            </w:r>
            <w:proofErr w:type="spellEnd"/>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w:t>
            </w:r>
            <w:proofErr w:type="spellStart"/>
            <w:r>
              <w:rPr>
                <w:iCs/>
                <w:kern w:val="2"/>
                <w:lang w:eastAsia="zh-CN"/>
              </w:rPr>
              <w:t>SCell</w:t>
            </w:r>
            <w:proofErr w:type="spellEnd"/>
            <w:r>
              <w:rPr>
                <w:iCs/>
                <w:kern w:val="2"/>
                <w:lang w:eastAsia="zh-CN"/>
              </w:rPr>
              <w:t xml:space="preserve">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217D2F" w:rsidRDefault="00217D2F" w:rsidP="00217D2F">
            <w:pPr>
              <w:widowControl w:val="0"/>
              <w:spacing w:beforeLines="50" w:before="120"/>
              <w:rPr>
                <w:iCs/>
                <w:kern w:val="2"/>
                <w:lang w:eastAsia="zh-CN"/>
              </w:rPr>
            </w:pP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217D2F" w:rsidRDefault="00217D2F" w:rsidP="00217D2F">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78E52344"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r w:rsidR="00E01E3B">
              <w:rPr>
                <w:iCs/>
                <w:kern w:val="2"/>
                <w:lang w:eastAsia="zh-CN"/>
              </w:rPr>
              <w:t>, OPPO</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1"/>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1"/>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1"/>
              <w:spacing w:beforeLines="50" w:before="120"/>
              <w:ind w:left="420"/>
              <w:rPr>
                <w:iCs/>
                <w:kern w:val="2"/>
                <w:lang w:eastAsia="zh-CN"/>
              </w:rPr>
            </w:pPr>
          </w:p>
          <w:p w14:paraId="7C9F4DCB" w14:textId="77777777" w:rsidR="00E01E3B" w:rsidRPr="009C3002" w:rsidRDefault="00E01E3B" w:rsidP="00E01E3B">
            <w:pPr>
              <w:pStyle w:val="af1"/>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lastRenderedPageBreak/>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ml:space="preserve">, </w:t>
      </w:r>
      <w:proofErr w:type="spellStart"/>
      <w:r w:rsidR="007D3729">
        <w:rPr>
          <w:sz w:val="22"/>
          <w:szCs w:val="22"/>
          <w:lang w:eastAsia="zh-CN"/>
        </w:rPr>
        <w:t>Xiaomi</w:t>
      </w:r>
      <w:proofErr w:type="spellEnd"/>
      <w:r w:rsidR="007D3729">
        <w:rPr>
          <w:sz w:val="22"/>
          <w:szCs w:val="22"/>
          <w:lang w:eastAsia="zh-CN"/>
        </w:rPr>
        <w:t xml:space="preserve">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ml:space="preserve">, </w:t>
      </w:r>
      <w:proofErr w:type="spellStart"/>
      <w:r w:rsidR="007D3729">
        <w:rPr>
          <w:sz w:val="22"/>
          <w:lang w:val="en-US" w:eastAsia="zh-CN"/>
        </w:rPr>
        <w:t>Xiaomi</w:t>
      </w:r>
      <w:proofErr w:type="spellEnd"/>
      <w:r w:rsidR="007D3729">
        <w:rPr>
          <w:sz w:val="22"/>
          <w:lang w:val="en-US" w:eastAsia="zh-CN"/>
        </w:rPr>
        <w:t xml:space="preserve">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lastRenderedPageBreak/>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lastRenderedPageBreak/>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lastRenderedPageBreak/>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lastRenderedPageBreak/>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CC43ED1"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68935141"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lastRenderedPageBreak/>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proofErr w:type="spellStart"/>
            <w:r>
              <w:rPr>
                <w:rFonts w:hint="eastAsia"/>
                <w:iCs/>
                <w:kern w:val="2"/>
                <w:lang w:eastAsia="zh-CN"/>
              </w:rPr>
              <w:t>D</w:t>
            </w:r>
            <w:r>
              <w:rPr>
                <w:iCs/>
                <w:kern w:val="2"/>
                <w:lang w:eastAsia="zh-CN"/>
              </w:rPr>
              <w:t>OCOMO</w:t>
            </w:r>
            <w:r w:rsidR="00782E75">
              <w:rPr>
                <w:iCs/>
                <w:kern w:val="2"/>
                <w:lang w:eastAsia="zh-CN"/>
              </w:rPr>
              <w:t>,Xiaomi</w:t>
            </w:r>
            <w:proofErr w:type="spellEnd"/>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478C67CB" w:rsidR="00771E48" w:rsidRPr="00A37A5F" w:rsidRDefault="007B4D7B" w:rsidP="003D17A8">
            <w:pPr>
              <w:widowControl w:val="0"/>
              <w:spacing w:beforeLines="50" w:before="120"/>
              <w:rPr>
                <w:rFonts w:eastAsiaTheme="minorEastAsia"/>
                <w:kern w:val="2"/>
                <w:lang w:eastAsia="zh-CN"/>
              </w:rPr>
            </w:pPr>
            <w:r>
              <w:rPr>
                <w:kern w:val="2"/>
                <w:lang w:eastAsia="zh-CN"/>
              </w:rPr>
              <w:t>Samsung</w:t>
            </w:r>
            <w:r w:rsidR="00D01A5B">
              <w:rPr>
                <w:kern w:val="2"/>
                <w:lang w:eastAsia="zh-CN"/>
              </w:rPr>
              <w:t>, LG</w:t>
            </w:r>
            <w:r w:rsidR="00057732">
              <w:rPr>
                <w:kern w:val="2"/>
                <w:lang w:eastAsia="zh-CN"/>
              </w:rPr>
              <w:t>,</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A37A5F">
              <w:rPr>
                <w:rFonts w:eastAsiaTheme="minorEastAsia" w:hint="eastAsia"/>
                <w:iCs/>
                <w:kern w:val="2"/>
                <w:lang w:eastAsia="zh-CN"/>
              </w:rPr>
              <w:t>, CATT</w:t>
            </w:r>
            <w:r w:rsidR="00E01E3B">
              <w:rPr>
                <w:rFonts w:eastAsiaTheme="minorEastAsia"/>
                <w:iCs/>
                <w:kern w:val="2"/>
                <w:lang w:eastAsia="zh-CN"/>
              </w:rPr>
              <w:t>, OPPO</w:t>
            </w:r>
            <w:r w:rsidR="00217D2F">
              <w:rPr>
                <w:rFonts w:eastAsiaTheme="minorEastAsia"/>
                <w:iCs/>
                <w:kern w:val="2"/>
                <w:lang w:eastAsia="zh-CN"/>
              </w:rPr>
              <w:t>, vivo</w:t>
            </w:r>
            <w:r w:rsidR="0086794E">
              <w:rPr>
                <w:rFonts w:eastAsiaTheme="minorEastAsia"/>
                <w:iCs/>
                <w:kern w:val="2"/>
                <w:lang w:eastAsia="zh-CN"/>
              </w:rPr>
              <w:t>, ZTE</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w:t>
      </w:r>
      <w:proofErr w:type="spellStart"/>
      <w:r w:rsidRPr="00E0627B">
        <w:t>config</w:t>
      </w:r>
      <w:proofErr w:type="spellEnd"/>
      <w:r w:rsidRPr="00E0627B">
        <w:t xml:space="preserve">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lastRenderedPageBreak/>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lastRenderedPageBreak/>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xml:space="preserve">, </w:t>
            </w:r>
            <w:r>
              <w:rPr>
                <w:rFonts w:hint="eastAsia"/>
                <w:iCs/>
                <w:kern w:val="2"/>
                <w:lang w:eastAsia="zh-CN"/>
              </w:rPr>
              <w:lastRenderedPageBreak/>
              <w:t>CATT</w:t>
            </w:r>
            <w:r>
              <w:rPr>
                <w:iCs/>
                <w:kern w:val="2"/>
                <w:lang w:eastAsia="zh-CN"/>
              </w:rPr>
              <w:t>, China Telecom, Huawei</w:t>
            </w:r>
            <w:r w:rsidR="00E5024D">
              <w:rPr>
                <w:iCs/>
                <w:kern w:val="2"/>
                <w:lang w:eastAsia="zh-CN"/>
              </w:rPr>
              <w:t>, [Samsung]</w:t>
            </w:r>
            <w:r w:rsidR="00782E75">
              <w:rPr>
                <w:iCs/>
                <w:kern w:val="2"/>
                <w:lang w:eastAsia="zh-CN"/>
              </w:rPr>
              <w:t>,</w:t>
            </w:r>
            <w:proofErr w:type="spellStart"/>
            <w:r w:rsidR="00782E75">
              <w:rPr>
                <w:iCs/>
                <w:kern w:val="2"/>
                <w:lang w:eastAsia="zh-CN"/>
              </w:rPr>
              <w:t>Xiaomi</w:t>
            </w:r>
            <w:proofErr w:type="spellEnd"/>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lastRenderedPageBreak/>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lastRenderedPageBreak/>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1"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1"/>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lastRenderedPageBreak/>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lastRenderedPageBreak/>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lastRenderedPageBreak/>
        <w:t xml:space="preserve">UE does not expect overlapping PUCCHs with dynamic indication on more than one carrier: </w:t>
      </w:r>
      <w:r w:rsidRPr="00FA5A58">
        <w:t>Ericsson [4]</w:t>
      </w:r>
      <w:r w:rsidR="001322F6">
        <w:t xml:space="preserve">, </w:t>
      </w:r>
      <w:proofErr w:type="spellStart"/>
      <w:r w:rsidR="001322F6" w:rsidRPr="001322F6">
        <w:t>Interdigital</w:t>
      </w:r>
      <w:proofErr w:type="spellEnd"/>
      <w:r w:rsidR="001322F6" w:rsidRPr="001322F6">
        <w:t xml:space="preserve">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ml:space="preserve">, </w:t>
      </w:r>
      <w:proofErr w:type="spellStart"/>
      <w:r w:rsidR="007D3729">
        <w:rPr>
          <w:lang w:val="en-US" w:eastAsia="zh-CN"/>
        </w:rPr>
        <w:t>Xiaomi</w:t>
      </w:r>
      <w:proofErr w:type="spellEnd"/>
      <w:r w:rsidR="007D3729">
        <w:rPr>
          <w:lang w:val="en-US" w:eastAsia="zh-CN"/>
        </w:rPr>
        <w:t xml:space="preserve"> [27]</w:t>
      </w:r>
    </w:p>
    <w:p w14:paraId="358E7BCF" w14:textId="02D719F7" w:rsidR="007D3729" w:rsidRPr="00F24EEF" w:rsidRDefault="007D3729" w:rsidP="00877C0B">
      <w:pPr>
        <w:pStyle w:val="af1"/>
        <w:numPr>
          <w:ilvl w:val="0"/>
          <w:numId w:val="41"/>
        </w:numPr>
        <w:rPr>
          <w:lang w:val="en-US" w:eastAsia="zh-CN"/>
        </w:rPr>
      </w:pPr>
      <w:r>
        <w:rPr>
          <w:lang w:val="en-US" w:eastAsia="zh-CN"/>
        </w:rPr>
        <w:t xml:space="preserve">Out-of-order triggering is not supported: </w:t>
      </w:r>
      <w:proofErr w:type="spellStart"/>
      <w:r>
        <w:rPr>
          <w:lang w:val="en-US" w:eastAsia="zh-CN"/>
        </w:rPr>
        <w:t>Xiaomi</w:t>
      </w:r>
      <w:proofErr w:type="spellEnd"/>
      <w:r>
        <w:rPr>
          <w:lang w:val="en-US" w:eastAsia="zh-CN"/>
        </w:rPr>
        <w:t xml:space="preserve">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proofErr w:type="spellStart"/>
      <w:r w:rsidRPr="00131A02">
        <w:rPr>
          <w:lang w:val="en-US" w:eastAsia="zh-CN"/>
        </w:rPr>
        <w:lastRenderedPageBreak/>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Semi-static PUCCH resource on target cell defined by PUCCH-</w:t>
      </w:r>
      <w:proofErr w:type="spellStart"/>
      <w:r>
        <w:rPr>
          <w:b/>
          <w:bCs/>
          <w:lang w:val="en-US" w:eastAsia="zh-CN"/>
        </w:rPr>
        <w:t>config</w:t>
      </w:r>
      <w:proofErr w:type="spellEnd"/>
      <w:r>
        <w:rPr>
          <w:b/>
          <w:bCs/>
          <w:lang w:val="en-US" w:eastAsia="zh-CN"/>
        </w:rPr>
        <w:t xml:space="preserve">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1"/>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1"/>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1"/>
        <w:numPr>
          <w:ilvl w:val="1"/>
          <w:numId w:val="42"/>
        </w:numPr>
        <w:rPr>
          <w:lang w:val="en-US" w:eastAsia="zh-CN"/>
        </w:rPr>
      </w:pPr>
      <w:r w:rsidRPr="006D7A38">
        <w:lastRenderedPageBreak/>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 xml:space="preserve">Same SCS operation should be given highest priority: </w:t>
      </w:r>
      <w:proofErr w:type="spellStart"/>
      <w:r>
        <w:rPr>
          <w:lang w:val="en-US" w:eastAsia="zh-CN"/>
        </w:rPr>
        <w:t>Xiaomi</w:t>
      </w:r>
      <w:proofErr w:type="spellEnd"/>
      <w:r>
        <w:rPr>
          <w:lang w:val="en-US" w:eastAsia="zh-CN"/>
        </w:rPr>
        <w:t xml:space="preserve">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xml:space="preserve">: </w:t>
      </w:r>
      <w:proofErr w:type="spellStart"/>
      <w:r>
        <w:rPr>
          <w:lang w:val="en-US" w:eastAsia="zh-CN"/>
        </w:rPr>
        <w:t>Interdigital</w:t>
      </w:r>
      <w:proofErr w:type="spellEnd"/>
      <w:r>
        <w:rPr>
          <w:lang w:val="en-US" w:eastAsia="zh-CN"/>
        </w:rPr>
        <w:t xml:space="preserve">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lastRenderedPageBreak/>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w:t>
      </w:r>
      <w:proofErr w:type="spellStart"/>
      <w:r w:rsidRPr="00DD2D67">
        <w:rPr>
          <w:i/>
          <w:iCs/>
          <w:lang w:val="en-US" w:eastAsia="zh-CN"/>
        </w:rPr>
        <w:t>config</w:t>
      </w:r>
      <w:proofErr w:type="spellEnd"/>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PUCCH-</w:t>
      </w:r>
      <w:proofErr w:type="spellStart"/>
      <w:r w:rsidRPr="00B906CB">
        <w:rPr>
          <w:lang w:val="en-US" w:eastAsia="zh-CN"/>
        </w:rPr>
        <w:t>config</w:t>
      </w:r>
      <w:proofErr w:type="spellEnd"/>
      <w:r w:rsidRPr="00B906CB">
        <w:rPr>
          <w:lang w:val="en-US" w:eastAsia="zh-CN"/>
        </w:rPr>
        <w:t xml:space="preserve">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w:t>
            </w:r>
            <w:proofErr w:type="spellStart"/>
            <w:r>
              <w:rPr>
                <w:iCs/>
                <w:kern w:val="2"/>
                <w:lang w:eastAsia="zh-CN"/>
              </w:rPr>
              <w:t>config</w:t>
            </w:r>
            <w:proofErr w:type="spellEnd"/>
            <w:r>
              <w:rPr>
                <w:iCs/>
                <w:kern w:val="2"/>
                <w:lang w:eastAsia="zh-CN"/>
              </w:rPr>
              <w:t>.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w:t>
            </w:r>
            <w:r>
              <w:rPr>
                <w:rFonts w:eastAsia="Malgun Gothic"/>
                <w:iCs/>
                <w:color w:val="00B0F0"/>
                <w:kern w:val="2"/>
                <w:lang w:eastAsia="ko-KR"/>
              </w:rPr>
              <w:lastRenderedPageBreak/>
              <w:t xml:space="preserve">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 xml:space="preserve">Alt 3 and Alt 4. Dynamic PUCCH carrier indication is enabled for HARQ-ACK transmission in response to DCI (e.g. type 3 CB triggering, SPS release indication, </w:t>
            </w:r>
            <w:proofErr w:type="spellStart"/>
            <w:r>
              <w:rPr>
                <w:iCs/>
                <w:kern w:val="2"/>
                <w:lang w:eastAsia="zh-CN"/>
              </w:rPr>
              <w:t>SCell</w:t>
            </w:r>
            <w:proofErr w:type="spellEnd"/>
            <w:r>
              <w:rPr>
                <w:iCs/>
                <w:kern w:val="2"/>
                <w:lang w:eastAsia="zh-CN"/>
              </w:rPr>
              <w:t xml:space="preserve">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lastRenderedPageBreak/>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 ..),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w:t>
            </w:r>
            <w:r>
              <w:rPr>
                <w:color w:val="0070C0"/>
                <w:kern w:val="2"/>
                <w:lang w:eastAsia="zh-CN"/>
              </w:rPr>
              <w:lastRenderedPageBreak/>
              <w:t xml:space="preserve">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 xml:space="preserve">OK to keep the length of the pattern FFS although 10 </w:t>
            </w:r>
            <w:proofErr w:type="spellStart"/>
            <w:r>
              <w:rPr>
                <w:iCs/>
                <w:kern w:val="2"/>
                <w:lang w:eastAsia="zh-CN"/>
              </w:rPr>
              <w:t>msec</w:t>
            </w:r>
            <w:proofErr w:type="spellEnd"/>
            <w:r>
              <w:rPr>
                <w:iCs/>
                <w:kern w:val="2"/>
                <w:lang w:eastAsia="zh-CN"/>
              </w:rPr>
              <w:t xml:space="preserve"> should work with any UL-DL </w:t>
            </w:r>
            <w:proofErr w:type="spellStart"/>
            <w:r>
              <w:rPr>
                <w:iCs/>
                <w:kern w:val="2"/>
                <w:lang w:eastAsia="zh-CN"/>
              </w:rPr>
              <w:t>config</w:t>
            </w:r>
            <w:proofErr w:type="spellEnd"/>
            <w:r>
              <w:rPr>
                <w:iCs/>
                <w:kern w:val="2"/>
                <w:lang w:eastAsia="zh-CN"/>
              </w:rPr>
              <w:t>.</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Also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w:t>
            </w:r>
            <w:proofErr w:type="spellStart"/>
            <w:r w:rsidRPr="00E47A8F">
              <w:rPr>
                <w:i/>
                <w:iCs/>
                <w:kern w:val="2"/>
                <w:lang w:eastAsia="zh-CN"/>
              </w:rPr>
              <w:t>Config</w:t>
            </w:r>
            <w:proofErr w:type="spellEnd"/>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w:t>
            </w:r>
            <w:proofErr w:type="spellStart"/>
            <w:r w:rsidRPr="00E47A8F">
              <w:rPr>
                <w:i/>
                <w:iCs/>
                <w:kern w:val="2"/>
                <w:lang w:eastAsia="zh-CN"/>
              </w:rPr>
              <w:t>Config</w:t>
            </w:r>
            <w:proofErr w:type="spellEnd"/>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1"/>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spellStart"/>
            <w:r>
              <w:rPr>
                <w:rStyle w:val="normaltextrun"/>
                <w:color w:val="000000"/>
                <w:shd w:val="clear" w:color="auto" w:fill="FFFFFF"/>
              </w:rPr>
              <w:t>ourself</w:t>
            </w:r>
            <w:proofErr w:type="spell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bookmarkStart w:id="12" w:name="_GoBack"/>
      <w:bookmarkEnd w:id="12"/>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lastRenderedPageBreak/>
        <w:t>Note: This flexibility is already provided as PUCCH-</w:t>
      </w:r>
      <w:proofErr w:type="spellStart"/>
      <w:r w:rsidRPr="000355FB">
        <w:rPr>
          <w:b/>
          <w:i/>
          <w:iCs/>
          <w:sz w:val="22"/>
          <w:szCs w:val="22"/>
          <w:lang w:val="en-US" w:eastAsia="zh-CN"/>
        </w:rPr>
        <w:t>config</w:t>
      </w:r>
      <w:proofErr w:type="spellEnd"/>
      <w:r w:rsidRPr="000355FB">
        <w:rPr>
          <w:b/>
          <w:i/>
          <w:iCs/>
          <w:sz w:val="22"/>
          <w:szCs w:val="22"/>
          <w:lang w:val="en-US" w:eastAsia="zh-CN"/>
        </w:rPr>
        <w:t xml:space="preserve">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323F7141"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17211AD2"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 xml:space="preserve">Moderator: see also comment to 6.4, if 6.7 is agreed also I guess this is what Samsung is having in </w:t>
            </w:r>
            <w:r w:rsidRPr="00BA4EFF">
              <w:rPr>
                <w:iCs/>
                <w:color w:val="0070C0"/>
                <w:kern w:val="2"/>
                <w:lang w:eastAsia="zh-CN"/>
              </w:rPr>
              <w:lastRenderedPageBreak/>
              <w:t>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w:t>
            </w:r>
            <w:r w:rsidR="00F70FB6">
              <w:rPr>
                <w:iCs/>
                <w:kern w:val="2"/>
                <w:lang w:eastAsia="zh-CN"/>
              </w:rPr>
              <w:lastRenderedPageBreak/>
              <w:t xml:space="preserve">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w:t>
            </w:r>
            <w:proofErr w:type="spellStart"/>
            <w:r>
              <w:rPr>
                <w:rFonts w:hint="eastAsia"/>
                <w:kern w:val="2"/>
                <w:lang w:eastAsia="zh-CN"/>
              </w:rPr>
              <w:t>SCell</w:t>
            </w:r>
            <w:proofErr w:type="spellEnd"/>
            <w:r>
              <w:rPr>
                <w:rFonts w:hint="eastAsia"/>
                <w:kern w:val="2"/>
                <w:lang w:eastAsia="zh-CN"/>
              </w:rPr>
              <w:t xml:space="preserve"> are different? If so, what are the UE </w:t>
            </w:r>
            <w:proofErr w:type="spellStart"/>
            <w:r>
              <w:rPr>
                <w:rFonts w:hint="eastAsia"/>
                <w:kern w:val="2"/>
                <w:lang w:eastAsia="zh-CN"/>
              </w:rPr>
              <w:t>behaviors</w:t>
            </w:r>
            <w:proofErr w:type="spellEnd"/>
            <w:r>
              <w:rPr>
                <w:rFonts w:hint="eastAsia"/>
                <w:kern w:val="2"/>
                <w:lang w:eastAsia="zh-CN"/>
              </w:rPr>
              <w:t>?</w:t>
            </w:r>
          </w:p>
          <w:p w14:paraId="0A70C38E" w14:textId="4629C662" w:rsidR="00A37A5F" w:rsidRDefault="00A37A5F" w:rsidP="002F5A4D">
            <w:pPr>
              <w:widowControl w:val="0"/>
              <w:spacing w:beforeLines="50" w:before="120"/>
              <w:rPr>
                <w:kern w:val="2"/>
                <w:lang w:eastAsia="zh-CN"/>
              </w:rPr>
            </w:pPr>
            <w:r>
              <w:rPr>
                <w:rFonts w:hint="eastAsia"/>
                <w:kern w:val="2"/>
                <w:lang w:eastAsia="zh-CN"/>
              </w:rPr>
              <w:t xml:space="preserve">In addition, we would like to clarify whether K1 set needs to be configured for the candidate PUCCH </w:t>
            </w:r>
            <w:proofErr w:type="spellStart"/>
            <w:r>
              <w:rPr>
                <w:rFonts w:hint="eastAsia"/>
                <w:kern w:val="2"/>
                <w:lang w:eastAsia="zh-CN"/>
              </w:rPr>
              <w:t>SCell</w:t>
            </w:r>
            <w:proofErr w:type="spellEnd"/>
            <w:r>
              <w:rPr>
                <w:rFonts w:hint="eastAsia"/>
                <w:kern w:val="2"/>
                <w:lang w:eastAsia="zh-CN"/>
              </w:rPr>
              <w:t>?</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4FB687E" w14:textId="5BBC62C1" w:rsidR="00217D2F" w:rsidRDefault="00217D2F" w:rsidP="00217D2F">
            <w:pPr>
              <w:widowControl w:val="0"/>
              <w:spacing w:beforeLines="50" w:before="120"/>
              <w:rPr>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6D6EB050" w14:textId="2A7186E2" w:rsidR="00F70FB6" w:rsidRDefault="00F70FB6" w:rsidP="00F70FB6">
            <w:pPr>
              <w:widowControl w:val="0"/>
              <w:spacing w:beforeLines="50" w:before="120"/>
              <w:rPr>
                <w:iCs/>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7DCDF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lastRenderedPageBreak/>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proofErr w:type="spellStart"/>
            <w:r w:rsidR="00782E75">
              <w:rPr>
                <w:iCs/>
                <w:kern w:val="2"/>
                <w:lang w:eastAsia="zh-CN"/>
              </w:rPr>
              <w:t>Xiaomi</w:t>
            </w:r>
            <w:proofErr w:type="spellEnd"/>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w:t>
            </w:r>
            <w:proofErr w:type="spellStart"/>
            <w:r>
              <w:rPr>
                <w:iCs/>
                <w:kern w:val="2"/>
                <w:lang w:eastAsia="zh-CN"/>
              </w:rPr>
              <w:t>config</w:t>
            </w:r>
            <w:proofErr w:type="spellEnd"/>
            <w:r>
              <w:rPr>
                <w:iCs/>
                <w:kern w:val="2"/>
                <w:lang w:eastAsia="zh-CN"/>
              </w:rPr>
              <w:t>.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lastRenderedPageBreak/>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553ACBA6"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w:t>
            </w:r>
            <w:proofErr w:type="spellStart"/>
            <w:r>
              <w:rPr>
                <w:iCs/>
                <w:kern w:val="2"/>
                <w:lang w:eastAsia="zh-CN"/>
              </w:rPr>
              <w:t>SCell</w:t>
            </w:r>
            <w:proofErr w:type="spellEnd"/>
            <w:r>
              <w:rPr>
                <w:iCs/>
                <w:kern w:val="2"/>
                <w:lang w:eastAsia="zh-CN"/>
              </w:rPr>
              <w:t xml:space="preserve">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1"/>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1"/>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r>
      <w:proofErr w:type="spellStart"/>
      <w:r>
        <w:rPr>
          <w:lang w:eastAsia="x-none"/>
        </w:rPr>
        <w:t>MediaTek</w:t>
      </w:r>
      <w:proofErr w:type="spellEnd"/>
      <w:r>
        <w:rPr>
          <w:lang w:eastAsia="x-none"/>
        </w:rPr>
        <w:t xml:space="preserve">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r>
      <w:proofErr w:type="spellStart"/>
      <w:r>
        <w:rPr>
          <w:lang w:eastAsia="x-none"/>
        </w:rPr>
        <w:t>Xiaomi</w:t>
      </w:r>
      <w:proofErr w:type="spellEnd"/>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lastRenderedPageBreak/>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w:t>
      </w:r>
      <w:proofErr w:type="spellStart"/>
      <w:r w:rsidRPr="0091423F">
        <w:t>config</w:t>
      </w:r>
      <w:proofErr w:type="spellEnd"/>
      <w:r w:rsidRPr="0091423F">
        <w:t xml:space="preserve">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lastRenderedPageBreak/>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lastRenderedPageBreak/>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w:t>
      </w:r>
      <w:proofErr w:type="spellStart"/>
      <w:r>
        <w:rPr>
          <w:b/>
          <w:i/>
          <w:iCs/>
          <w:kern w:val="2"/>
          <w:lang w:eastAsia="zh-CN"/>
        </w:rPr>
        <w:t>fallback</w:t>
      </w:r>
      <w:proofErr w:type="spellEnd"/>
      <w:r>
        <w:rPr>
          <w:b/>
          <w:i/>
          <w:iCs/>
          <w:kern w:val="2"/>
          <w:lang w:eastAsia="zh-CN"/>
        </w:rPr>
        <w:t xml:space="preserve">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w:t>
      </w:r>
      <w:proofErr w:type="spellStart"/>
      <w:r w:rsidRPr="00B067B6">
        <w:rPr>
          <w:b/>
          <w:i/>
          <w:lang w:eastAsia="zh-CN"/>
        </w:rPr>
        <w:t>fallback</w:t>
      </w:r>
      <w:proofErr w:type="spellEnd"/>
      <w:r w:rsidRPr="00B067B6">
        <w:rPr>
          <w:b/>
          <w:i/>
          <w:lang w:eastAsia="zh-CN"/>
        </w:rPr>
        <w:t xml:space="preserve">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w:t>
      </w:r>
      <w:proofErr w:type="spellStart"/>
      <w:r>
        <w:rPr>
          <w:rFonts w:eastAsia="MS Mincho"/>
          <w:b/>
          <w:bCs/>
          <w:i/>
          <w:iCs/>
          <w:kern w:val="2"/>
          <w:lang w:eastAsia="ja-JP"/>
        </w:rPr>
        <w:t>Config</w:t>
      </w:r>
      <w:proofErr w:type="spellEnd"/>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 xml:space="preserve">Proposal 6.2: PUCCH carrier switching based on dynamic indication is in principle supported for PUCCH scheduled by DCI format 1_1 or 1_2 but not for PUCCH scheduled by the </w:t>
      </w:r>
      <w:proofErr w:type="spellStart"/>
      <w:r>
        <w:rPr>
          <w:b/>
          <w:bCs/>
        </w:rPr>
        <w:t>fallback</w:t>
      </w:r>
      <w:proofErr w:type="spellEnd"/>
      <w:r>
        <w:rPr>
          <w:b/>
          <w:bCs/>
        </w:rPr>
        <w:t xml:space="preserve">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af1"/>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1"/>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w:t>
      </w:r>
      <w:proofErr w:type="spellStart"/>
      <w:r w:rsidRPr="00171D7D">
        <w:rPr>
          <w:b/>
          <w:bCs/>
          <w:sz w:val="20"/>
          <w:szCs w:val="20"/>
        </w:rPr>
        <w:t>config</w:t>
      </w:r>
      <w:proofErr w:type="spellEnd"/>
      <w:r w:rsidRPr="00171D7D">
        <w:rPr>
          <w:b/>
          <w:bCs/>
          <w:sz w:val="20"/>
          <w:szCs w:val="20"/>
        </w:rPr>
        <w:t>)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proofErr w:type="spellStart"/>
      <w:r>
        <w:rPr>
          <w:b/>
          <w:i/>
          <w:lang w:eastAsia="zh-CN"/>
        </w:rPr>
        <w:t>a</w:t>
      </w:r>
      <w:r w:rsidRPr="004E5E25">
        <w:rPr>
          <w:b/>
          <w:i/>
          <w:lang w:eastAsia="zh-CN"/>
        </w:rPr>
        <w:t>e</w:t>
      </w:r>
      <w:proofErr w:type="spellEnd"/>
      <w:r w:rsidRPr="004E5E25">
        <w:rPr>
          <w:b/>
          <w:i/>
          <w:lang w:eastAsia="zh-CN"/>
        </w:rPr>
        <w:t xml:space="preserv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w:t>
      </w:r>
      <w:proofErr w:type="spellStart"/>
      <w:r w:rsidRPr="00916784">
        <w:rPr>
          <w:lang w:eastAsia="zh-TW"/>
        </w:rPr>
        <w:t>Config</w:t>
      </w:r>
      <w:proofErr w:type="spellEnd"/>
      <w:r w:rsidRPr="00916784">
        <w:rPr>
          <w:lang w:eastAsia="zh-TW"/>
        </w:rPr>
        <w:t xml:space="preserve"> </w:t>
      </w:r>
      <w:r>
        <w:rPr>
          <w:lang w:eastAsia="zh-TW"/>
        </w:rPr>
        <w:t>or</w:t>
      </w:r>
      <w:r w:rsidRPr="00916784">
        <w:rPr>
          <w:lang w:eastAsia="zh-TW"/>
        </w:rPr>
        <w:t xml:space="preserve"> in the second PUCCH-</w:t>
      </w:r>
      <w:proofErr w:type="spellStart"/>
      <w:r w:rsidRPr="00916784">
        <w:rPr>
          <w:lang w:eastAsia="zh-TW"/>
        </w:rPr>
        <w:t>Config</w:t>
      </w:r>
      <w:proofErr w:type="spellEnd"/>
      <w:r w:rsidRPr="00916784">
        <w:rPr>
          <w:lang w:eastAsia="zh-TW"/>
        </w:rPr>
        <w:t>,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w:t>
      </w:r>
      <w:proofErr w:type="spellStart"/>
      <w:r w:rsidRPr="00064195">
        <w:rPr>
          <w:b/>
          <w:bCs/>
          <w:i/>
          <w:iCs/>
          <w:lang w:eastAsia="zh-CN"/>
        </w:rPr>
        <w:t>Ack</w:t>
      </w:r>
      <w:proofErr w:type="spellEnd"/>
      <w:r w:rsidRPr="00064195">
        <w:rPr>
          <w:b/>
          <w:bCs/>
          <w:i/>
          <w:iCs/>
          <w:lang w:eastAsia="zh-CN"/>
        </w:rPr>
        <w:t>,</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w:t>
      </w:r>
      <w:proofErr w:type="spellStart"/>
      <w:r w:rsidRPr="007A25B6">
        <w:rPr>
          <w:b/>
          <w:i/>
          <w:lang w:eastAsia="zh-CN"/>
        </w:rPr>
        <w:t>Ack</w:t>
      </w:r>
      <w:proofErr w:type="spellEnd"/>
      <w:r w:rsidRPr="007A25B6">
        <w:rPr>
          <w:b/>
          <w:i/>
          <w:lang w:eastAsia="zh-CN"/>
        </w:rPr>
        <w:t>”</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lastRenderedPageBreak/>
        <w:t>R1-2107491</w:t>
      </w:r>
      <w:r>
        <w:tab/>
        <w:t>On UE feedback enhancements for HARQ-ACK</w:t>
      </w:r>
      <w:r>
        <w:tab/>
      </w:r>
      <w:proofErr w:type="spellStart"/>
      <w:r>
        <w:t>MediaTek</w:t>
      </w:r>
      <w:proofErr w:type="spellEnd"/>
      <w:r>
        <w:t xml:space="preserve">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r>
      <w:proofErr w:type="spellStart"/>
      <w:r>
        <w:t>Xiaomi</w:t>
      </w:r>
      <w:proofErr w:type="spellEnd"/>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3CCA" w14:textId="77777777" w:rsidR="000E3F4E" w:rsidRDefault="000E3F4E">
      <w:r>
        <w:separator/>
      </w:r>
    </w:p>
  </w:endnote>
  <w:endnote w:type="continuationSeparator" w:id="0">
    <w:p w14:paraId="4695463E" w14:textId="77777777" w:rsidR="000E3F4E" w:rsidRDefault="000E3F4E">
      <w:r>
        <w:continuationSeparator/>
      </w:r>
    </w:p>
  </w:endnote>
  <w:endnote w:type="continuationNotice" w:id="1">
    <w:p w14:paraId="15710AAF" w14:textId="77777777" w:rsidR="000E3F4E" w:rsidRDefault="000E3F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altName w:val="Calibri"/>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notTrueType/>
    <w:pitch w:val="variable"/>
    <w:sig w:usb0="01000001" w:usb1="00000000" w:usb2="00000000" w:usb3="00000000" w:csb0="0001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Content>
      <w:p w14:paraId="42F76C3F" w14:textId="3EAF867F" w:rsidR="00D859AF" w:rsidRDefault="00D859AF">
        <w:pPr>
          <w:pStyle w:val="a9"/>
        </w:pPr>
        <w:r>
          <w:fldChar w:fldCharType="begin"/>
        </w:r>
        <w:r>
          <w:instrText>PAGE   \* MERGEFORMAT</w:instrText>
        </w:r>
        <w:r>
          <w:fldChar w:fldCharType="separate"/>
        </w:r>
        <w:r w:rsidR="00D8237E" w:rsidRPr="00D8237E">
          <w:rPr>
            <w:lang w:val="zh-CN" w:eastAsia="zh-CN"/>
          </w:rPr>
          <w:t>123</w:t>
        </w:r>
        <w:r>
          <w:fldChar w:fldCharType="end"/>
        </w:r>
      </w:p>
    </w:sdtContent>
  </w:sdt>
  <w:p w14:paraId="00A820FC" w14:textId="77777777" w:rsidR="00D859AF" w:rsidRDefault="00D859AF">
    <w:pPr>
      <w:pStyle w:val="a9"/>
    </w:pPr>
  </w:p>
  <w:p w14:paraId="4A48D3F3" w14:textId="77777777" w:rsidR="00D859AF" w:rsidRDefault="00D859AF"/>
  <w:p w14:paraId="46E31D82" w14:textId="77777777" w:rsidR="00D859AF" w:rsidRDefault="00D85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6EB1" w14:textId="77777777" w:rsidR="000E3F4E" w:rsidRDefault="000E3F4E">
      <w:r>
        <w:separator/>
      </w:r>
    </w:p>
  </w:footnote>
  <w:footnote w:type="continuationSeparator" w:id="0">
    <w:p w14:paraId="67B6FD99" w14:textId="77777777" w:rsidR="000E3F4E" w:rsidRDefault="000E3F4E">
      <w:r>
        <w:continuationSeparator/>
      </w:r>
    </w:p>
  </w:footnote>
  <w:footnote w:type="continuationNotice" w:id="1">
    <w:p w14:paraId="157CFE79" w14:textId="77777777" w:rsidR="000E3F4E" w:rsidRDefault="000E3F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D859AF" w:rsidRDefault="00D859AF">
    <w:pPr>
      <w:pStyle w:val="a4"/>
      <w:tabs>
        <w:tab w:val="right" w:pos="9639"/>
      </w:tabs>
    </w:pPr>
    <w:r>
      <w:tab/>
    </w:r>
  </w:p>
  <w:p w14:paraId="246D48EC" w14:textId="77777777" w:rsidR="00D859AF" w:rsidRDefault="00D859AF"/>
  <w:p w14:paraId="4F6F578E" w14:textId="77777777" w:rsidR="00D859AF" w:rsidRDefault="00D859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1.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CAA40AC8-609C-40F0-A88D-8E3010F4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165</Pages>
  <Words>59390</Words>
  <Characters>338527</Characters>
  <Application>Microsoft Office Word</Application>
  <DocSecurity>0</DocSecurity>
  <Lines>2821</Lines>
  <Paragraphs>794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397123</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ZTE</cp:lastModifiedBy>
  <cp:revision>11</cp:revision>
  <cp:lastPrinted>1901-01-01T19:00:00Z</cp:lastPrinted>
  <dcterms:created xsi:type="dcterms:W3CDTF">2021-08-19T08:28:00Z</dcterms:created>
  <dcterms:modified xsi:type="dcterms:W3CDTF">2021-08-19T12:58:00Z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