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xml:space="preserve">, LGE [18] </w:t>
      </w:r>
      <w:proofErr w:type="gramStart"/>
      <w:r w:rsidR="00A838AA">
        <w:t>(?,</w:t>
      </w:r>
      <w:proofErr w:type="gramEnd"/>
      <w:r w:rsidR="00A838AA">
        <w:t xml:space="preserve">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270.5pt" o:ole="">
                  <v:imagedata r:id="rId14" o:title=""/>
                </v:shape>
                <o:OLEObject Type="Embed" ProgID="PowerPoint.SlideMacroEnabled.12" ShapeID="_x0000_i1025" DrawAspect="Content" ObjectID="_1690835254"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w:t>
            </w:r>
            <w:proofErr w:type="gramStart"/>
            <w:r>
              <w:rPr>
                <w:kern w:val="2"/>
                <w:lang w:eastAsia="zh-CN"/>
              </w:rPr>
              <w:t>defer</w:t>
            </w:r>
            <w:proofErr w:type="gramEnd"/>
            <w:r>
              <w:rPr>
                <w:kern w:val="2"/>
                <w:lang w:eastAsia="zh-CN"/>
              </w:rPr>
              <w:t xml:space="preserve">.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w:t>
            </w:r>
            <w:proofErr w:type="gramStart"/>
            <w:r w:rsidRPr="005C45C4">
              <w:rPr>
                <w:color w:val="8064A2" w:themeColor="accent4"/>
                <w:kern w:val="2"/>
                <w:lang w:eastAsia="zh-CN"/>
              </w:rPr>
              <w:t>So</w:t>
            </w:r>
            <w:proofErr w:type="gramEnd"/>
            <w:r w:rsidRPr="005C45C4">
              <w:rPr>
                <w:color w:val="8064A2" w:themeColor="accent4"/>
                <w:kern w:val="2"/>
                <w:lang w:eastAsia="zh-CN"/>
              </w:rPr>
              <w:t xml:space="preserve">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 xml:space="preserve">n our understanding, SPS HARQ-ACK deferral is stopped when target slot is </w:t>
            </w:r>
            <w:proofErr w:type="gramStart"/>
            <w:r>
              <w:rPr>
                <w:kern w:val="2"/>
                <w:lang w:eastAsia="zh-CN"/>
              </w:rPr>
              <w:t>determined</w:t>
            </w:r>
            <w:proofErr w:type="gramEnd"/>
            <w:r>
              <w:rPr>
                <w:kern w:val="2"/>
                <w:lang w:eastAsia="zh-CN"/>
              </w:rPr>
              <w:t xml:space="preserve">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 xml:space="preserve">If it is clarified that the deferral condition also </w:t>
            </w:r>
            <w:proofErr w:type="gramStart"/>
            <w:r w:rsidRPr="00196AD4">
              <w:rPr>
                <w:color w:val="8064A2" w:themeColor="accent4"/>
                <w:kern w:val="2"/>
                <w:lang w:eastAsia="zh-CN"/>
              </w:rPr>
              <w:t>takes into account</w:t>
            </w:r>
            <w:proofErr w:type="gramEnd"/>
            <w:r w:rsidRPr="00196AD4">
              <w:rPr>
                <w:color w:val="8064A2" w:themeColor="accent4"/>
                <w:kern w:val="2"/>
                <w:lang w:eastAsia="zh-CN"/>
              </w:rPr>
              <w:t xml:space="preserve">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proofErr w:type="gramStart"/>
            <w:r w:rsidRPr="00196AD4">
              <w:rPr>
                <w:rFonts w:eastAsiaTheme="minorEastAsia"/>
                <w:color w:val="8064A2" w:themeColor="accent4"/>
                <w:kern w:val="2"/>
                <w:lang w:eastAsia="zh-CN"/>
              </w:rPr>
              <w:t>Is</w:t>
            </w:r>
            <w:proofErr w:type="gramEnd"/>
            <w:r w:rsidRPr="00196AD4">
              <w:rPr>
                <w:rFonts w:eastAsiaTheme="minorEastAsia"/>
                <w:color w:val="8064A2" w:themeColor="accent4"/>
                <w:kern w:val="2"/>
                <w:lang w:eastAsia="zh-CN"/>
              </w:rPr>
              <w:t xml:space="preserve">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48B1515"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77777777" w:rsidR="003046AB" w:rsidRDefault="003046AB" w:rsidP="003D17A8">
            <w:pPr>
              <w:widowControl w:val="0"/>
              <w:spacing w:beforeLines="50" w:before="120"/>
              <w:rPr>
                <w:kern w:val="2"/>
                <w:lang w:eastAsia="zh-CN"/>
              </w:rPr>
            </w:pP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64E9FE" w14:textId="77777777" w:rsidR="003046AB" w:rsidRDefault="003046AB" w:rsidP="003D17A8">
            <w:pPr>
              <w:spacing w:beforeLines="50" w:before="120"/>
              <w:rPr>
                <w:iCs/>
                <w:kern w:val="2"/>
                <w:lang w:eastAsia="zh-CN"/>
              </w:rPr>
            </w:pPr>
          </w:p>
        </w:tc>
      </w:tr>
      <w:tr w:rsidR="003046A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07F6DA" w14:textId="77777777" w:rsidR="003046AB" w:rsidRDefault="003046AB" w:rsidP="003D17A8">
            <w:pPr>
              <w:widowControl w:val="0"/>
              <w:spacing w:beforeLines="50" w:before="120"/>
              <w:rPr>
                <w:kern w:val="2"/>
                <w:lang w:eastAsia="zh-CN"/>
              </w:rPr>
            </w:pPr>
          </w:p>
        </w:tc>
      </w:tr>
      <w:tr w:rsidR="003046AB"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3046AB" w:rsidRDefault="003046AB" w:rsidP="003D17A8">
            <w:pPr>
              <w:widowControl w:val="0"/>
              <w:spacing w:beforeLines="50" w:before="120"/>
              <w:rPr>
                <w:kern w:val="2"/>
                <w:lang w:eastAsia="zh-CN"/>
              </w:rPr>
            </w:pPr>
          </w:p>
        </w:tc>
      </w:tr>
      <w:tr w:rsidR="003046AB"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3046AB" w:rsidRDefault="003046AB" w:rsidP="003D17A8">
            <w:pPr>
              <w:widowControl w:val="0"/>
              <w:spacing w:beforeLines="50" w:before="120"/>
              <w:rPr>
                <w:iCs/>
                <w:kern w:val="2"/>
                <w:lang w:eastAsia="zh-CN"/>
              </w:rPr>
            </w:pPr>
          </w:p>
        </w:tc>
      </w:tr>
      <w:tr w:rsidR="003046AB"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3046AB" w:rsidRDefault="003046AB" w:rsidP="003D17A8">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30392639" w14:textId="77777777" w:rsidR="003046AB" w:rsidRPr="00232E57" w:rsidRDefault="003046AB" w:rsidP="003046AB">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similar),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507AC5B6"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8E4F9" w14:textId="77777777" w:rsidR="003046AB" w:rsidRDefault="003046AB" w:rsidP="003D17A8">
            <w:pPr>
              <w:spacing w:beforeLines="50" w:before="120"/>
              <w:rPr>
                <w:iCs/>
                <w:kern w:val="2"/>
                <w:lang w:eastAsia="zh-CN"/>
              </w:rPr>
            </w:pPr>
          </w:p>
        </w:tc>
      </w:tr>
      <w:tr w:rsidR="003046A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28D1DE" w14:textId="77777777" w:rsidR="003046AB" w:rsidRDefault="003046AB" w:rsidP="003D17A8">
            <w:pPr>
              <w:widowControl w:val="0"/>
              <w:spacing w:beforeLines="50" w:before="120"/>
              <w:rPr>
                <w:kern w:val="2"/>
                <w:lang w:eastAsia="zh-CN"/>
              </w:rPr>
            </w:pPr>
          </w:p>
        </w:tc>
      </w:tr>
      <w:tr w:rsidR="003046A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3046AB" w:rsidRDefault="003046AB" w:rsidP="003D17A8">
            <w:pPr>
              <w:widowControl w:val="0"/>
              <w:spacing w:beforeLines="50" w:before="120"/>
              <w:rPr>
                <w:kern w:val="2"/>
                <w:lang w:eastAsia="zh-CN"/>
              </w:rPr>
            </w:pPr>
          </w:p>
        </w:tc>
      </w:tr>
      <w:tr w:rsidR="003046A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3046AB" w:rsidRDefault="003046AB" w:rsidP="003D17A8">
            <w:pPr>
              <w:widowControl w:val="0"/>
              <w:spacing w:beforeLines="50" w:before="120"/>
              <w:rPr>
                <w:iCs/>
                <w:kern w:val="2"/>
                <w:lang w:eastAsia="zh-CN"/>
              </w:rPr>
            </w:pPr>
          </w:p>
        </w:tc>
      </w:tr>
      <w:tr w:rsidR="003046A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3046AB" w:rsidRDefault="003046AB" w:rsidP="003D17A8">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D857B" w14:textId="77777777" w:rsidR="003046AB" w:rsidRDefault="003046AB" w:rsidP="003D17A8">
            <w:pPr>
              <w:spacing w:beforeLines="50" w:before="120"/>
              <w:rPr>
                <w:iCs/>
                <w:kern w:val="2"/>
                <w:lang w:eastAsia="zh-CN"/>
              </w:rPr>
            </w:pPr>
          </w:p>
        </w:tc>
      </w:tr>
      <w:tr w:rsidR="003046AB"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3046AB" w:rsidRDefault="003046AB" w:rsidP="003D17A8">
            <w:pPr>
              <w:widowControl w:val="0"/>
              <w:spacing w:beforeLines="50" w:before="120"/>
              <w:rPr>
                <w:kern w:val="2"/>
                <w:lang w:eastAsia="zh-CN"/>
              </w:rPr>
            </w:pPr>
          </w:p>
        </w:tc>
      </w:tr>
      <w:tr w:rsidR="003046AB"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3046AB" w:rsidRDefault="003046AB" w:rsidP="003D17A8">
            <w:pPr>
              <w:widowControl w:val="0"/>
              <w:spacing w:beforeLines="50" w:before="120"/>
              <w:rPr>
                <w:kern w:val="2"/>
                <w:lang w:eastAsia="zh-CN"/>
              </w:rPr>
            </w:pPr>
          </w:p>
        </w:tc>
      </w:tr>
      <w:tr w:rsidR="003046AB"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3046AB" w:rsidRDefault="003046AB" w:rsidP="003D17A8">
            <w:pPr>
              <w:widowControl w:val="0"/>
              <w:spacing w:beforeLines="50" w:before="120"/>
              <w:rPr>
                <w:iCs/>
                <w:kern w:val="2"/>
                <w:lang w:eastAsia="zh-CN"/>
              </w:rPr>
            </w:pPr>
          </w:p>
        </w:tc>
      </w:tr>
      <w:tr w:rsidR="003046AB"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3046AB" w:rsidRDefault="003046AB" w:rsidP="003D17A8">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lastRenderedPageBreak/>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47BE25C8"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3715CD6" w:rsidR="003046AB" w:rsidRDefault="006D7EFD" w:rsidP="003D17A8">
            <w:pPr>
              <w:spacing w:beforeLines="50" w:before="120"/>
              <w:rPr>
                <w:iCs/>
                <w:kern w:val="2"/>
                <w:lang w:eastAsia="zh-CN"/>
              </w:rPr>
            </w:pPr>
            <w:r>
              <w:rPr>
                <w:iCs/>
                <w:kern w:val="2"/>
                <w:lang w:eastAsia="zh-CN"/>
              </w:rPr>
              <w:t xml:space="preserve">Nokia/NSB, </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8D3FE2" w14:textId="77777777" w:rsidR="003046AB" w:rsidRDefault="003046AB" w:rsidP="003D17A8">
            <w:pPr>
              <w:spacing w:beforeLines="50" w:before="120"/>
              <w:rPr>
                <w:iCs/>
                <w:kern w:val="2"/>
                <w:lang w:eastAsia="zh-CN"/>
              </w:rPr>
            </w:pPr>
          </w:p>
        </w:tc>
      </w:tr>
      <w:tr w:rsidR="003046A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3046AB" w:rsidRDefault="003046AB" w:rsidP="003D17A8">
            <w:pPr>
              <w:widowControl w:val="0"/>
              <w:spacing w:beforeLines="50" w:before="120"/>
              <w:rPr>
                <w:kern w:val="2"/>
                <w:lang w:eastAsia="zh-CN"/>
              </w:rPr>
            </w:pPr>
          </w:p>
        </w:tc>
      </w:tr>
      <w:tr w:rsidR="003046AB"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3046AB" w:rsidRDefault="003046AB" w:rsidP="003D17A8">
            <w:pPr>
              <w:widowControl w:val="0"/>
              <w:spacing w:beforeLines="50" w:before="120"/>
              <w:rPr>
                <w:kern w:val="2"/>
                <w:lang w:eastAsia="zh-CN"/>
              </w:rPr>
            </w:pPr>
          </w:p>
        </w:tc>
      </w:tr>
      <w:tr w:rsidR="003046A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3046AB" w:rsidRDefault="003046AB" w:rsidP="003D17A8">
            <w:pPr>
              <w:widowControl w:val="0"/>
              <w:spacing w:beforeLines="50" w:before="120"/>
              <w:rPr>
                <w:iCs/>
                <w:kern w:val="2"/>
                <w:lang w:eastAsia="zh-CN"/>
              </w:rPr>
            </w:pPr>
          </w:p>
        </w:tc>
      </w:tr>
      <w:tr w:rsidR="003046A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3046AB" w:rsidRDefault="003046AB" w:rsidP="003D17A8">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lastRenderedPageBreak/>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lastRenderedPageBreak/>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lastRenderedPageBreak/>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lastRenderedPageBreak/>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lastRenderedPageBreak/>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lastRenderedPageBreak/>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w:t>
            </w:r>
            <w:r w:rsidRPr="00EA325F">
              <w:rPr>
                <w:b/>
                <w:bCs/>
                <w:sz w:val="22"/>
                <w:lang w:val="en-US" w:eastAsia="zh-CN"/>
              </w:rPr>
              <w:lastRenderedPageBreak/>
              <w:t xml:space="preserve">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e.g. the HARQ-ID field could be used to </w:t>
            </w:r>
            <w:proofErr w:type="gramStart"/>
            <w:r>
              <w:rPr>
                <w:iCs/>
                <w:kern w:val="2"/>
                <w:lang w:eastAsia="zh-CN"/>
              </w:rPr>
              <w:t>indicated</w:t>
            </w:r>
            <w:proofErr w:type="gramEnd"/>
            <w:r>
              <w:rPr>
                <w:iCs/>
                <w:kern w:val="2"/>
                <w:lang w:eastAsia="zh-CN"/>
              </w:rPr>
              <w:t xml:space="preserve">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77777777"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D600E0" w14:textId="77777777" w:rsidR="007439F7" w:rsidRDefault="007439F7" w:rsidP="007439F7">
            <w:pPr>
              <w:spacing w:beforeLines="50" w:before="120"/>
              <w:rPr>
                <w:iCs/>
                <w:kern w:val="2"/>
                <w:lang w:eastAsia="zh-CN"/>
              </w:rPr>
            </w:pPr>
          </w:p>
        </w:tc>
      </w:tr>
      <w:tr w:rsidR="007439F7"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439F7" w:rsidRDefault="007439F7" w:rsidP="007439F7">
            <w:pPr>
              <w:widowControl w:val="0"/>
              <w:spacing w:beforeLines="50" w:before="120"/>
              <w:rPr>
                <w:kern w:val="2"/>
                <w:lang w:eastAsia="zh-CN"/>
              </w:rPr>
            </w:pPr>
          </w:p>
        </w:tc>
      </w:tr>
      <w:tr w:rsidR="007439F7"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439F7" w:rsidRDefault="007439F7" w:rsidP="007439F7">
            <w:pPr>
              <w:widowControl w:val="0"/>
              <w:spacing w:beforeLines="50" w:before="120"/>
              <w:rPr>
                <w:kern w:val="2"/>
                <w:lang w:eastAsia="zh-CN"/>
              </w:rPr>
            </w:pPr>
          </w:p>
        </w:tc>
      </w:tr>
      <w:tr w:rsidR="007439F7"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439F7" w:rsidRDefault="007439F7" w:rsidP="007439F7">
            <w:pPr>
              <w:widowControl w:val="0"/>
              <w:spacing w:beforeLines="50" w:before="120"/>
              <w:rPr>
                <w:iCs/>
                <w:kern w:val="2"/>
                <w:lang w:eastAsia="zh-CN"/>
              </w:rPr>
            </w:pPr>
          </w:p>
        </w:tc>
      </w:tr>
      <w:tr w:rsidR="007439F7"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439F7" w:rsidRDefault="007439F7" w:rsidP="007439F7">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 xml:space="preserve">k for PHY priority handling discussed in Question 3.2, a strong majority suggested to only support a single structure / size (i.e.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6DBC5F" w14:textId="77777777" w:rsidR="007439F7" w:rsidRDefault="007439F7" w:rsidP="007439F7">
            <w:pPr>
              <w:spacing w:beforeLines="50" w:before="120"/>
              <w:rPr>
                <w:iCs/>
                <w:kern w:val="2"/>
                <w:lang w:eastAsia="zh-CN"/>
              </w:rPr>
            </w:pPr>
          </w:p>
        </w:tc>
      </w:tr>
      <w:tr w:rsidR="007439F7"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439F7" w:rsidRDefault="007439F7" w:rsidP="007439F7">
            <w:pPr>
              <w:widowControl w:val="0"/>
              <w:spacing w:beforeLines="50" w:before="120"/>
              <w:rPr>
                <w:kern w:val="2"/>
                <w:lang w:eastAsia="zh-CN"/>
              </w:rPr>
            </w:pPr>
          </w:p>
        </w:tc>
      </w:tr>
      <w:tr w:rsidR="007439F7"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439F7" w:rsidRDefault="007439F7" w:rsidP="007439F7">
            <w:pPr>
              <w:widowControl w:val="0"/>
              <w:spacing w:beforeLines="50" w:before="120"/>
              <w:rPr>
                <w:kern w:val="2"/>
                <w:lang w:eastAsia="zh-CN"/>
              </w:rPr>
            </w:pPr>
          </w:p>
        </w:tc>
      </w:tr>
      <w:tr w:rsidR="007439F7"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439F7" w:rsidRDefault="007439F7" w:rsidP="007439F7">
            <w:pPr>
              <w:widowControl w:val="0"/>
              <w:spacing w:beforeLines="50" w:before="120"/>
              <w:rPr>
                <w:iCs/>
                <w:kern w:val="2"/>
                <w:lang w:eastAsia="zh-CN"/>
              </w:rPr>
            </w:pPr>
          </w:p>
        </w:tc>
      </w:tr>
      <w:tr w:rsidR="007439F7"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439F7" w:rsidRDefault="007439F7" w:rsidP="007439F7">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2194CD74" w14:textId="77777777" w:rsidR="007439F7" w:rsidRDefault="007439F7" w:rsidP="007439F7">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xml:space="preserve">. Type 2 and Type 3 CB).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63AA4E7" w14:textId="77777777" w:rsidR="007439F7" w:rsidRDefault="007439F7" w:rsidP="007439F7">
            <w:pPr>
              <w:spacing w:beforeLines="50" w:before="120"/>
              <w:rPr>
                <w:iCs/>
                <w:kern w:val="2"/>
                <w:lang w:eastAsia="zh-CN"/>
              </w:rPr>
            </w:pPr>
          </w:p>
        </w:tc>
      </w:tr>
      <w:tr w:rsidR="007439F7"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439F7" w:rsidRDefault="007439F7" w:rsidP="007439F7">
            <w:pPr>
              <w:widowControl w:val="0"/>
              <w:spacing w:beforeLines="50" w:before="120"/>
              <w:rPr>
                <w:kern w:val="2"/>
                <w:lang w:eastAsia="zh-CN"/>
              </w:rPr>
            </w:pPr>
          </w:p>
        </w:tc>
      </w:tr>
      <w:tr w:rsidR="007439F7"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439F7" w:rsidRDefault="007439F7" w:rsidP="007439F7">
            <w:pPr>
              <w:widowControl w:val="0"/>
              <w:spacing w:beforeLines="50" w:before="120"/>
              <w:rPr>
                <w:kern w:val="2"/>
                <w:lang w:eastAsia="zh-CN"/>
              </w:rPr>
            </w:pPr>
          </w:p>
        </w:tc>
      </w:tr>
      <w:tr w:rsidR="007439F7"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439F7" w:rsidRDefault="007439F7" w:rsidP="007439F7">
            <w:pPr>
              <w:widowControl w:val="0"/>
              <w:spacing w:beforeLines="50" w:before="120"/>
              <w:rPr>
                <w:iCs/>
                <w:kern w:val="2"/>
                <w:lang w:eastAsia="zh-CN"/>
              </w:rPr>
            </w:pPr>
          </w:p>
        </w:tc>
      </w:tr>
      <w:tr w:rsidR="007439F7"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439F7" w:rsidRDefault="007439F7" w:rsidP="007439F7">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lastRenderedPageBreak/>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95DC61" w14:textId="77777777" w:rsidR="007439F7" w:rsidRDefault="007439F7" w:rsidP="007439F7">
            <w:pPr>
              <w:spacing w:beforeLines="50" w:before="120"/>
              <w:rPr>
                <w:iCs/>
                <w:kern w:val="2"/>
                <w:lang w:eastAsia="zh-CN"/>
              </w:rPr>
            </w:pP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480DF7" w14:textId="77777777" w:rsidR="007439F7" w:rsidRDefault="007439F7" w:rsidP="007439F7">
            <w:pPr>
              <w:widowControl w:val="0"/>
              <w:spacing w:beforeLines="50" w:before="120"/>
              <w:rPr>
                <w:kern w:val="2"/>
                <w:lang w:eastAsia="zh-CN"/>
              </w:rPr>
            </w:pP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lastRenderedPageBreak/>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77777777" w:rsidR="007439F7" w:rsidRDefault="007439F7" w:rsidP="007439F7">
            <w:pPr>
              <w:spacing w:beforeLines="50" w:before="120"/>
              <w:rPr>
                <w:iCs/>
                <w:kern w:val="2"/>
                <w:lang w:eastAsia="zh-CN"/>
              </w:rPr>
            </w:pP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61CF71" w14:textId="77777777" w:rsidR="007439F7" w:rsidRDefault="007439F7" w:rsidP="007439F7">
            <w:pPr>
              <w:spacing w:beforeLines="50" w:before="120"/>
              <w:rPr>
                <w:iCs/>
                <w:kern w:val="2"/>
                <w:lang w:eastAsia="zh-CN"/>
              </w:rPr>
            </w:pPr>
          </w:p>
        </w:tc>
      </w:tr>
      <w:tr w:rsidR="007439F7"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7439F7" w:rsidRDefault="007439F7" w:rsidP="007439F7">
            <w:pPr>
              <w:widowControl w:val="0"/>
              <w:spacing w:beforeLines="50" w:before="120"/>
              <w:rPr>
                <w:kern w:val="2"/>
                <w:lang w:eastAsia="zh-CN"/>
              </w:rPr>
            </w:pPr>
          </w:p>
        </w:tc>
      </w:tr>
      <w:tr w:rsidR="007439F7"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7439F7" w:rsidRDefault="007439F7" w:rsidP="007439F7">
            <w:pPr>
              <w:widowControl w:val="0"/>
              <w:spacing w:beforeLines="50" w:before="120"/>
              <w:rPr>
                <w:kern w:val="2"/>
                <w:lang w:eastAsia="zh-CN"/>
              </w:rPr>
            </w:pPr>
          </w:p>
        </w:tc>
      </w:tr>
      <w:tr w:rsidR="007439F7"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7439F7" w:rsidRDefault="007439F7" w:rsidP="007439F7">
            <w:pPr>
              <w:widowControl w:val="0"/>
              <w:spacing w:beforeLines="50" w:before="120"/>
              <w:rPr>
                <w:iCs/>
                <w:kern w:val="2"/>
                <w:lang w:eastAsia="zh-CN"/>
              </w:rPr>
            </w:pPr>
          </w:p>
        </w:tc>
      </w:tr>
      <w:tr w:rsidR="007439F7"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7439F7" w:rsidRDefault="007439F7" w:rsidP="007439F7">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lastRenderedPageBreak/>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77777777"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262DA6" w14:textId="77777777" w:rsidR="00831DB9" w:rsidRDefault="00831DB9" w:rsidP="003D17A8">
            <w:pPr>
              <w:spacing w:beforeLines="50" w:before="120"/>
              <w:rPr>
                <w:iCs/>
                <w:kern w:val="2"/>
                <w:lang w:eastAsia="zh-CN"/>
              </w:rPr>
            </w:pPr>
          </w:p>
        </w:tc>
      </w:tr>
      <w:tr w:rsidR="00831DB9"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831DB9" w:rsidRDefault="00831DB9" w:rsidP="003D17A8">
            <w:pPr>
              <w:widowControl w:val="0"/>
              <w:spacing w:beforeLines="50" w:before="120"/>
              <w:rPr>
                <w:kern w:val="2"/>
                <w:lang w:eastAsia="zh-CN"/>
              </w:rPr>
            </w:pPr>
          </w:p>
        </w:tc>
      </w:tr>
      <w:tr w:rsidR="00831DB9"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831DB9" w:rsidRDefault="00831DB9" w:rsidP="003D17A8">
            <w:pPr>
              <w:widowControl w:val="0"/>
              <w:spacing w:beforeLines="50" w:before="120"/>
              <w:rPr>
                <w:kern w:val="2"/>
                <w:lang w:eastAsia="zh-CN"/>
              </w:rPr>
            </w:pPr>
          </w:p>
        </w:tc>
      </w:tr>
      <w:tr w:rsidR="00831DB9"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831DB9" w:rsidRDefault="00831DB9" w:rsidP="003D17A8">
            <w:pPr>
              <w:widowControl w:val="0"/>
              <w:spacing w:beforeLines="50" w:before="120"/>
              <w:rPr>
                <w:iCs/>
                <w:kern w:val="2"/>
                <w:lang w:eastAsia="zh-CN"/>
              </w:rPr>
            </w:pPr>
          </w:p>
        </w:tc>
      </w:tr>
      <w:tr w:rsidR="00831DB9" w14:paraId="67EBB8FF" w14:textId="77777777" w:rsidTr="003D17A8">
        <w:tc>
          <w:tcPr>
            <w:tcW w:w="1529" w:type="dxa"/>
          </w:tcPr>
          <w:p w14:paraId="1928DCB3" w14:textId="77777777" w:rsidR="00831DB9" w:rsidRDefault="00831DB9" w:rsidP="003D17A8">
            <w:pPr>
              <w:spacing w:beforeLines="50" w:before="120"/>
              <w:rPr>
                <w:iCs/>
                <w:kern w:val="2"/>
                <w:lang w:eastAsia="zh-CN"/>
              </w:rPr>
            </w:pPr>
          </w:p>
        </w:tc>
        <w:tc>
          <w:tcPr>
            <w:tcW w:w="8105" w:type="dxa"/>
          </w:tcPr>
          <w:p w14:paraId="4FA78024" w14:textId="77777777" w:rsidR="00831DB9" w:rsidRDefault="00831DB9" w:rsidP="003D17A8">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7281D36" w:rsidR="00771E48" w:rsidRDefault="00771E48" w:rsidP="003D17A8">
            <w:pPr>
              <w:spacing w:beforeLines="50" w:before="120"/>
              <w:rPr>
                <w:iCs/>
                <w:kern w:val="2"/>
                <w:lang w:eastAsia="zh-CN"/>
              </w:rPr>
            </w:pP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77777777" w:rsidR="00771E48" w:rsidRDefault="00771E48" w:rsidP="003D17A8">
            <w:pPr>
              <w:widowControl w:val="0"/>
              <w:spacing w:beforeLines="50" w:before="120"/>
              <w:rPr>
                <w:kern w:val="2"/>
                <w:lang w:eastAsia="zh-CN"/>
              </w:rPr>
            </w:pP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71E48"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77777777" w:rsidR="00771E48" w:rsidRDefault="00771E48"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A0E3D1" w14:textId="77777777" w:rsidR="00771E48" w:rsidRDefault="00771E48" w:rsidP="003D17A8">
            <w:pPr>
              <w:spacing w:beforeLines="50" w:before="120"/>
              <w:rPr>
                <w:iCs/>
                <w:kern w:val="2"/>
                <w:lang w:eastAsia="zh-CN"/>
              </w:rPr>
            </w:pPr>
          </w:p>
        </w:tc>
      </w:tr>
      <w:tr w:rsidR="00771E48"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71E48" w:rsidRDefault="00771E48" w:rsidP="003D17A8">
            <w:pPr>
              <w:widowControl w:val="0"/>
              <w:spacing w:beforeLines="50" w:before="120"/>
              <w:rPr>
                <w:kern w:val="2"/>
                <w:lang w:eastAsia="zh-CN"/>
              </w:rPr>
            </w:pPr>
          </w:p>
        </w:tc>
      </w:tr>
      <w:tr w:rsidR="00771E48"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71E48" w:rsidRDefault="00771E48" w:rsidP="003D17A8">
            <w:pPr>
              <w:widowControl w:val="0"/>
              <w:spacing w:beforeLines="50" w:before="120"/>
              <w:rPr>
                <w:kern w:val="2"/>
                <w:lang w:eastAsia="zh-CN"/>
              </w:rPr>
            </w:pPr>
          </w:p>
        </w:tc>
      </w:tr>
      <w:tr w:rsidR="00771E48"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71E48" w:rsidRDefault="00771E48" w:rsidP="003D17A8">
            <w:pPr>
              <w:widowControl w:val="0"/>
              <w:spacing w:beforeLines="50" w:before="120"/>
              <w:rPr>
                <w:iCs/>
                <w:kern w:val="2"/>
                <w:lang w:eastAsia="zh-CN"/>
              </w:rPr>
            </w:pPr>
          </w:p>
        </w:tc>
      </w:tr>
      <w:tr w:rsidR="00771E48" w14:paraId="682AE149" w14:textId="77777777" w:rsidTr="003D17A8">
        <w:tc>
          <w:tcPr>
            <w:tcW w:w="1529" w:type="dxa"/>
          </w:tcPr>
          <w:p w14:paraId="0E558A79" w14:textId="77777777" w:rsidR="00771E48" w:rsidRDefault="00771E48" w:rsidP="003D17A8">
            <w:pPr>
              <w:spacing w:beforeLines="50" w:before="120"/>
              <w:rPr>
                <w:iCs/>
                <w:kern w:val="2"/>
                <w:lang w:eastAsia="zh-CN"/>
              </w:rPr>
            </w:pPr>
          </w:p>
        </w:tc>
        <w:tc>
          <w:tcPr>
            <w:tcW w:w="8105" w:type="dxa"/>
          </w:tcPr>
          <w:p w14:paraId="02ADFF61" w14:textId="77777777" w:rsidR="00771E48" w:rsidRDefault="00771E48" w:rsidP="003D17A8">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lastRenderedPageBreak/>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77777777" w:rsidR="00771E48" w:rsidRDefault="00771E48" w:rsidP="003D17A8">
            <w:pPr>
              <w:spacing w:beforeLines="50" w:before="120"/>
              <w:rPr>
                <w:iCs/>
                <w:kern w:val="2"/>
                <w:lang w:eastAsia="zh-CN"/>
              </w:rPr>
            </w:pP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777777" w:rsidR="00771E48" w:rsidRDefault="00771E48" w:rsidP="003D17A8">
            <w:pPr>
              <w:widowControl w:val="0"/>
              <w:spacing w:beforeLines="50" w:before="120"/>
              <w:rPr>
                <w:kern w:val="2"/>
                <w:lang w:eastAsia="zh-CN"/>
              </w:rPr>
            </w:pP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77777777" w:rsidR="00771E48" w:rsidRDefault="00771E48" w:rsidP="003D17A8">
            <w:pPr>
              <w:widowControl w:val="0"/>
              <w:spacing w:beforeLines="50" w:before="120"/>
              <w:rPr>
                <w:kern w:val="2"/>
                <w:lang w:eastAsia="zh-CN"/>
              </w:rPr>
            </w:pP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71E48"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77777777" w:rsidR="00771E48" w:rsidRDefault="00771E48"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982EA4" w14:textId="77777777" w:rsidR="00771E48" w:rsidRDefault="00771E48" w:rsidP="003D17A8">
            <w:pPr>
              <w:spacing w:beforeLines="50" w:before="120"/>
              <w:rPr>
                <w:iCs/>
                <w:kern w:val="2"/>
                <w:lang w:eastAsia="zh-CN"/>
              </w:rPr>
            </w:pPr>
          </w:p>
        </w:tc>
      </w:tr>
      <w:tr w:rsidR="00771E48"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71E48" w:rsidRDefault="00771E48" w:rsidP="003D17A8">
            <w:pPr>
              <w:widowControl w:val="0"/>
              <w:spacing w:beforeLines="50" w:before="120"/>
              <w:rPr>
                <w:kern w:val="2"/>
                <w:lang w:eastAsia="zh-CN"/>
              </w:rPr>
            </w:pPr>
          </w:p>
        </w:tc>
      </w:tr>
      <w:tr w:rsidR="00771E48"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71E48" w:rsidRDefault="00771E48" w:rsidP="003D17A8">
            <w:pPr>
              <w:widowControl w:val="0"/>
              <w:spacing w:beforeLines="50" w:before="120"/>
              <w:rPr>
                <w:kern w:val="2"/>
                <w:lang w:eastAsia="zh-CN"/>
              </w:rPr>
            </w:pPr>
          </w:p>
        </w:tc>
      </w:tr>
      <w:tr w:rsidR="00771E48"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71E48" w:rsidRDefault="00771E48" w:rsidP="003D17A8">
            <w:pPr>
              <w:widowControl w:val="0"/>
              <w:spacing w:beforeLines="50" w:before="120"/>
              <w:rPr>
                <w:iCs/>
                <w:kern w:val="2"/>
                <w:lang w:eastAsia="zh-CN"/>
              </w:rPr>
            </w:pPr>
          </w:p>
        </w:tc>
      </w:tr>
      <w:tr w:rsidR="00771E48" w14:paraId="4EDD4FB1" w14:textId="77777777" w:rsidTr="003D17A8">
        <w:tc>
          <w:tcPr>
            <w:tcW w:w="1529" w:type="dxa"/>
          </w:tcPr>
          <w:p w14:paraId="2A920639" w14:textId="77777777" w:rsidR="00771E48" w:rsidRDefault="00771E48" w:rsidP="003D17A8">
            <w:pPr>
              <w:spacing w:beforeLines="50" w:before="120"/>
              <w:rPr>
                <w:iCs/>
                <w:kern w:val="2"/>
                <w:lang w:eastAsia="zh-CN"/>
              </w:rPr>
            </w:pPr>
          </w:p>
        </w:tc>
        <w:tc>
          <w:tcPr>
            <w:tcW w:w="8105" w:type="dxa"/>
          </w:tcPr>
          <w:p w14:paraId="3F05716E" w14:textId="77777777" w:rsidR="00771E48" w:rsidRDefault="00771E48" w:rsidP="003D17A8">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F772EA"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77777777" w:rsidR="00F772EA" w:rsidRDefault="00F772EA"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A2B009" w14:textId="77777777" w:rsidR="00F772EA" w:rsidRDefault="00F772EA" w:rsidP="003D17A8">
            <w:pPr>
              <w:spacing w:beforeLines="50" w:before="120"/>
              <w:rPr>
                <w:iCs/>
                <w:kern w:val="2"/>
                <w:lang w:eastAsia="zh-CN"/>
              </w:rPr>
            </w:pPr>
          </w:p>
        </w:tc>
      </w:tr>
      <w:tr w:rsidR="00F772EA"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F772EA" w:rsidRDefault="00F772EA" w:rsidP="003D17A8">
            <w:pPr>
              <w:widowControl w:val="0"/>
              <w:spacing w:beforeLines="50" w:before="120"/>
              <w:rPr>
                <w:kern w:val="2"/>
                <w:lang w:eastAsia="zh-CN"/>
              </w:rPr>
            </w:pPr>
          </w:p>
        </w:tc>
      </w:tr>
      <w:tr w:rsidR="00F772EA"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F772EA" w:rsidRDefault="00F772EA" w:rsidP="003D17A8">
            <w:pPr>
              <w:widowControl w:val="0"/>
              <w:spacing w:beforeLines="50" w:before="120"/>
              <w:rPr>
                <w:kern w:val="2"/>
                <w:lang w:eastAsia="zh-CN"/>
              </w:rPr>
            </w:pPr>
          </w:p>
        </w:tc>
      </w:tr>
      <w:tr w:rsidR="00F772EA"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F772EA" w:rsidRDefault="00F772EA" w:rsidP="003D17A8">
            <w:pPr>
              <w:widowControl w:val="0"/>
              <w:spacing w:beforeLines="50" w:before="120"/>
              <w:rPr>
                <w:iCs/>
                <w:kern w:val="2"/>
                <w:lang w:eastAsia="zh-CN"/>
              </w:rPr>
            </w:pPr>
          </w:p>
        </w:tc>
      </w:tr>
      <w:tr w:rsidR="00F772EA" w14:paraId="34F95192" w14:textId="77777777" w:rsidTr="003D17A8">
        <w:tc>
          <w:tcPr>
            <w:tcW w:w="1529" w:type="dxa"/>
          </w:tcPr>
          <w:p w14:paraId="5F57B378" w14:textId="77777777" w:rsidR="00F772EA" w:rsidRDefault="00F772EA" w:rsidP="003D17A8">
            <w:pPr>
              <w:spacing w:beforeLines="50" w:before="120"/>
              <w:rPr>
                <w:iCs/>
                <w:kern w:val="2"/>
                <w:lang w:eastAsia="zh-CN"/>
              </w:rPr>
            </w:pPr>
          </w:p>
        </w:tc>
        <w:tc>
          <w:tcPr>
            <w:tcW w:w="8105" w:type="dxa"/>
          </w:tcPr>
          <w:p w14:paraId="428CF755" w14:textId="77777777" w:rsidR="00F772EA" w:rsidRDefault="00F772EA" w:rsidP="003D17A8">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F772EA"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77777777" w:rsidR="00F772EA" w:rsidRDefault="00F772EA"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CDD07F" w14:textId="77777777" w:rsidR="00F772EA" w:rsidRDefault="00F772EA" w:rsidP="003D17A8">
            <w:pPr>
              <w:spacing w:beforeLines="50" w:before="120"/>
              <w:rPr>
                <w:iCs/>
                <w:kern w:val="2"/>
                <w:lang w:eastAsia="zh-CN"/>
              </w:rPr>
            </w:pPr>
          </w:p>
        </w:tc>
      </w:tr>
      <w:tr w:rsidR="00F772EA"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F772EA" w:rsidRDefault="00F772EA" w:rsidP="003D17A8">
            <w:pPr>
              <w:widowControl w:val="0"/>
              <w:spacing w:beforeLines="50" w:before="120"/>
              <w:rPr>
                <w:kern w:val="2"/>
                <w:lang w:eastAsia="zh-CN"/>
              </w:rPr>
            </w:pPr>
          </w:p>
        </w:tc>
      </w:tr>
      <w:tr w:rsidR="00F772EA"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F772EA" w:rsidRDefault="00F772EA" w:rsidP="003D17A8">
            <w:pPr>
              <w:widowControl w:val="0"/>
              <w:spacing w:beforeLines="50" w:before="120"/>
              <w:rPr>
                <w:kern w:val="2"/>
                <w:lang w:eastAsia="zh-CN"/>
              </w:rPr>
            </w:pPr>
          </w:p>
        </w:tc>
      </w:tr>
      <w:tr w:rsidR="00F772EA"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F772EA" w:rsidRDefault="00F772EA" w:rsidP="003D17A8">
            <w:pPr>
              <w:widowControl w:val="0"/>
              <w:spacing w:beforeLines="50" w:before="120"/>
              <w:rPr>
                <w:iCs/>
                <w:kern w:val="2"/>
                <w:lang w:eastAsia="zh-CN"/>
              </w:rPr>
            </w:pPr>
          </w:p>
        </w:tc>
      </w:tr>
      <w:tr w:rsidR="00F772EA" w14:paraId="07F0F784" w14:textId="77777777" w:rsidTr="003D17A8">
        <w:tc>
          <w:tcPr>
            <w:tcW w:w="1529" w:type="dxa"/>
          </w:tcPr>
          <w:p w14:paraId="54BBC345" w14:textId="77777777" w:rsidR="00F772EA" w:rsidRDefault="00F772EA" w:rsidP="003D17A8">
            <w:pPr>
              <w:spacing w:beforeLines="50" w:before="120"/>
              <w:rPr>
                <w:iCs/>
                <w:kern w:val="2"/>
                <w:lang w:eastAsia="zh-CN"/>
              </w:rPr>
            </w:pPr>
          </w:p>
        </w:tc>
        <w:tc>
          <w:tcPr>
            <w:tcW w:w="8105" w:type="dxa"/>
          </w:tcPr>
          <w:p w14:paraId="423F0D60" w14:textId="77777777" w:rsidR="00F772EA" w:rsidRDefault="00F772EA" w:rsidP="003D17A8">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lastRenderedPageBreak/>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w:t>
            </w:r>
            <w:proofErr w:type="gramStart"/>
            <w:r>
              <w:rPr>
                <w:rStyle w:val="normaltextrun"/>
                <w:sz w:val="20"/>
                <w:szCs w:val="20"/>
                <w:lang w:val="en-GB"/>
              </w:rPr>
              <w:t>ACK, since</w:t>
            </w:r>
            <w:proofErr w:type="gramEnd"/>
            <w:r>
              <w:rPr>
                <w:rStyle w:val="normaltextrun"/>
                <w:sz w:val="20"/>
                <w:szCs w:val="20"/>
                <w:lang w:val="en-GB"/>
              </w:rPr>
              <w:t xml:space="preserv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gramStart"/>
      <w:r w:rsidRPr="00561161">
        <w:rPr>
          <w:b/>
          <w:bCs/>
        </w:rPr>
        <w:t>there</w:t>
      </w:r>
      <w:proofErr w:type="gram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77777777" w:rsidR="00561161" w:rsidRDefault="00561161" w:rsidP="00C23CE0">
            <w:pPr>
              <w:spacing w:beforeLines="50" w:before="120"/>
              <w:rPr>
                <w:iCs/>
                <w:kern w:val="2"/>
                <w:lang w:eastAsia="zh-CN"/>
              </w:rPr>
            </w:pPr>
            <w:r>
              <w:rPr>
                <w:iCs/>
                <w:kern w:val="2"/>
                <w:lang w:eastAsia="zh-CN"/>
              </w:rPr>
              <w:t xml:space="preserve">Nokia, NSB, OPPO with modification, vivo, Sony, ZTE, DOCOMO, Samsung,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77777777" w:rsidR="00561161" w:rsidRDefault="00561161" w:rsidP="00C23CE0">
            <w:pPr>
              <w:widowControl w:val="0"/>
              <w:spacing w:beforeLines="50" w:before="120"/>
              <w:rPr>
                <w:kern w:val="2"/>
                <w:lang w:eastAsia="zh-CN"/>
              </w:rPr>
            </w:pPr>
            <w:r>
              <w:rPr>
                <w:kern w:val="2"/>
                <w:lang w:eastAsia="zh-CN"/>
              </w:rPr>
              <w:t>Qualcomm, LG</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561161" w14:paraId="1A0CDBF8" w14:textId="77777777" w:rsidTr="00C23CE0">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C23CE0">
        <w:tc>
          <w:tcPr>
            <w:tcW w:w="1012"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C23CE0">
        <w:tc>
          <w:tcPr>
            <w:tcW w:w="1012"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w:t>
            </w:r>
            <w:proofErr w:type="gramStart"/>
            <w:r>
              <w:rPr>
                <w:rStyle w:val="normaltextrun"/>
                <w:sz w:val="20"/>
                <w:szCs w:val="20"/>
                <w:lang w:val="en-GB"/>
              </w:rPr>
              <w:t>ACK, since</w:t>
            </w:r>
            <w:proofErr w:type="gramEnd"/>
            <w:r>
              <w:rPr>
                <w:rStyle w:val="normaltextrun"/>
                <w:sz w:val="20"/>
                <w:szCs w:val="20"/>
                <w:lang w:val="en-GB"/>
              </w:rPr>
              <w:t xml:space="preserv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C23CE0">
        <w:tc>
          <w:tcPr>
            <w:tcW w:w="1012"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w:t>
            </w:r>
            <w:r>
              <w:rPr>
                <w:kern w:val="2"/>
                <w:lang w:eastAsia="zh-CN"/>
              </w:rPr>
              <w:lastRenderedPageBreak/>
              <w:t xml:space="preserve">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C23CE0">
        <w:tc>
          <w:tcPr>
            <w:tcW w:w="1012"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C23CE0">
        <w:tc>
          <w:tcPr>
            <w:tcW w:w="1012"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lastRenderedPageBreak/>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lastRenderedPageBreak/>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lastRenderedPageBreak/>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lastRenderedPageBreak/>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lastRenderedPageBreak/>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w:t>
            </w:r>
            <w:proofErr w:type="gramStart"/>
            <w:r>
              <w:rPr>
                <w:iCs/>
                <w:kern w:val="2"/>
                <w:lang w:eastAsia="zh-CN"/>
              </w:rPr>
              <w:t>sufficient</w:t>
            </w:r>
            <w:proofErr w:type="gramEnd"/>
            <w:r>
              <w:rPr>
                <w:iCs/>
                <w:kern w:val="2"/>
                <w:lang w:eastAsia="zh-CN"/>
              </w:rPr>
              <w:t xml:space="preserve">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 and</w:t>
      </w:r>
      <w:proofErr w:type="gramEnd"/>
      <w:r w:rsidRPr="004046F5">
        <w:rPr>
          <w:b/>
          <w:bCs/>
        </w:rPr>
        <w:t xml:space="preserve">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lastRenderedPageBreak/>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lastRenderedPageBreak/>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lastRenderedPageBreak/>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xml:space="preserve">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 xml:space="preserve">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w:t>
            </w:r>
            <w:r>
              <w:rPr>
                <w:rStyle w:val="normaltextrun"/>
                <w:color w:val="000000"/>
                <w:shd w:val="clear" w:color="auto" w:fill="FFFFFF"/>
              </w:rPr>
              <w:lastRenderedPageBreak/>
              <w:t>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 and</w:t>
      </w:r>
      <w:proofErr w:type="gramEnd"/>
      <w:r w:rsidR="008D3352" w:rsidRPr="004046F5">
        <w:rPr>
          <w:b/>
          <w:bCs/>
        </w:rPr>
        <w:t xml:space="preserve">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semi-statically configured PUCCH cell (other than P</w:t>
      </w:r>
      <w:r w:rsidR="0016147A">
        <w:rPr>
          <w:lang w:eastAsia="zh-CN"/>
        </w:rPr>
        <w:t>c</w:t>
      </w:r>
      <w:r>
        <w:rPr>
          <w:lang w:eastAsia="zh-CN"/>
        </w:rPr>
        <w:t>ell/</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lastRenderedPageBreak/>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1B12F4C7" w:rsidR="000355FB" w:rsidRDefault="00C23CE0" w:rsidP="00C23CE0">
            <w:pPr>
              <w:spacing w:beforeLines="50" w:before="120"/>
              <w:rPr>
                <w:iCs/>
                <w:kern w:val="2"/>
                <w:lang w:eastAsia="zh-CN"/>
              </w:rPr>
            </w:pPr>
            <w:r>
              <w:rPr>
                <w:iCs/>
                <w:kern w:val="2"/>
                <w:lang w:eastAsia="zh-CN"/>
              </w:rPr>
              <w:t xml:space="preserve">Nokia/NSB, </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0355FB"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77777777" w:rsidR="000355FB" w:rsidRDefault="000355FB"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4526A5" w14:textId="77777777" w:rsidR="000355FB" w:rsidRDefault="000355FB" w:rsidP="00C23CE0">
            <w:pPr>
              <w:spacing w:beforeLines="50" w:before="120"/>
              <w:rPr>
                <w:iCs/>
                <w:kern w:val="2"/>
                <w:lang w:eastAsia="zh-CN"/>
              </w:rPr>
            </w:pPr>
          </w:p>
        </w:tc>
      </w:tr>
      <w:tr w:rsidR="000355FB"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77777777" w:rsidR="000355FB" w:rsidRDefault="000355FB"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EA32AA" w14:textId="77777777" w:rsidR="000355FB" w:rsidRDefault="000355FB" w:rsidP="00C23CE0">
            <w:pPr>
              <w:widowControl w:val="0"/>
              <w:spacing w:beforeLines="50" w:before="120"/>
              <w:rPr>
                <w:kern w:val="2"/>
                <w:lang w:eastAsia="zh-CN"/>
              </w:rPr>
            </w:pPr>
          </w:p>
        </w:tc>
      </w:tr>
      <w:tr w:rsidR="000355FB"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0355FB" w:rsidRDefault="000355FB"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0355FB" w:rsidRDefault="000355FB" w:rsidP="00C23CE0">
            <w:pPr>
              <w:widowControl w:val="0"/>
              <w:spacing w:beforeLines="50" w:before="120"/>
              <w:rPr>
                <w:kern w:val="2"/>
                <w:lang w:eastAsia="zh-CN"/>
              </w:rPr>
            </w:pPr>
          </w:p>
        </w:tc>
      </w:tr>
      <w:tr w:rsidR="000355F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0355FB" w:rsidRDefault="000355FB"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0355FB" w:rsidRDefault="000355FB" w:rsidP="00C23CE0">
            <w:pPr>
              <w:widowControl w:val="0"/>
              <w:spacing w:beforeLines="50" w:before="120"/>
              <w:rPr>
                <w:iCs/>
                <w:kern w:val="2"/>
                <w:lang w:eastAsia="zh-CN"/>
              </w:rPr>
            </w:pPr>
          </w:p>
        </w:tc>
      </w:tr>
      <w:tr w:rsidR="000355F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0355FB" w:rsidRDefault="000355FB"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0355FB" w:rsidRDefault="000355FB" w:rsidP="00C23CE0">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54E3DF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77777777"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324D65" w14:textId="77777777" w:rsidR="00D018C9" w:rsidRDefault="00D018C9" w:rsidP="00C23CE0">
            <w:pPr>
              <w:spacing w:beforeLines="50" w:before="120"/>
              <w:rPr>
                <w:iCs/>
                <w:kern w:val="2"/>
                <w:lang w:eastAsia="zh-CN"/>
              </w:rPr>
            </w:pPr>
          </w:p>
        </w:tc>
      </w:tr>
      <w:tr w:rsidR="00D018C9"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D018C9" w:rsidRDefault="00D018C9" w:rsidP="00C23CE0">
            <w:pPr>
              <w:widowControl w:val="0"/>
              <w:spacing w:beforeLines="50" w:before="120"/>
              <w:rPr>
                <w:kern w:val="2"/>
                <w:lang w:eastAsia="zh-CN"/>
              </w:rPr>
            </w:pPr>
          </w:p>
        </w:tc>
      </w:tr>
      <w:tr w:rsidR="00D018C9"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D018C9" w:rsidRDefault="00D018C9" w:rsidP="00C23CE0">
            <w:pPr>
              <w:widowControl w:val="0"/>
              <w:spacing w:beforeLines="50" w:before="120"/>
              <w:rPr>
                <w:kern w:val="2"/>
                <w:lang w:eastAsia="zh-CN"/>
              </w:rPr>
            </w:pPr>
          </w:p>
        </w:tc>
      </w:tr>
      <w:tr w:rsidR="00D018C9"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D018C9" w:rsidRDefault="00D018C9" w:rsidP="00C23CE0">
            <w:pPr>
              <w:widowControl w:val="0"/>
              <w:spacing w:beforeLines="50" w:before="120"/>
              <w:rPr>
                <w:iCs/>
                <w:kern w:val="2"/>
                <w:lang w:eastAsia="zh-CN"/>
              </w:rPr>
            </w:pPr>
          </w:p>
        </w:tc>
      </w:tr>
      <w:tr w:rsidR="00D018C9"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D018C9" w:rsidRDefault="00D018C9" w:rsidP="00C23CE0">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The pattern defines for each slot of the reference numerology / 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77777777" w:rsidR="00C23CE0" w:rsidRDefault="00C23CE0" w:rsidP="00C23CE0">
            <w:pPr>
              <w:spacing w:beforeLines="50" w:before="120"/>
              <w:rPr>
                <w:iCs/>
                <w:kern w:val="2"/>
                <w:lang w:eastAsia="zh-CN"/>
              </w:rPr>
            </w:pPr>
            <w:r w:rsidRPr="00B60930">
              <w:rPr>
                <w:iCs/>
                <w:kern w:val="2"/>
                <w:lang w:eastAsia="zh-CN"/>
              </w:rPr>
              <w:t xml:space="preserve">Nokia/NSB, </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77777777" w:rsidR="00C23CE0" w:rsidRDefault="00C23CE0" w:rsidP="00C23CE0">
            <w:pPr>
              <w:widowControl w:val="0"/>
              <w:spacing w:beforeLines="50" w:before="120"/>
              <w:rPr>
                <w:kern w:val="2"/>
                <w:lang w:eastAsia="zh-CN"/>
              </w:rPr>
            </w:pP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C23CE0"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77777777" w:rsidR="00C23CE0" w:rsidRDefault="00C23CE0"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6AFA1A" w14:textId="77777777" w:rsidR="00C23CE0" w:rsidRDefault="00C23CE0" w:rsidP="00C23CE0">
            <w:pPr>
              <w:spacing w:beforeLines="50" w:before="120"/>
              <w:rPr>
                <w:iCs/>
                <w:kern w:val="2"/>
                <w:lang w:eastAsia="zh-CN"/>
              </w:rPr>
            </w:pPr>
          </w:p>
        </w:tc>
      </w:tr>
      <w:tr w:rsidR="00C23CE0"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2D5A42" w14:textId="77777777" w:rsidR="00C23CE0" w:rsidRDefault="00C23CE0" w:rsidP="00C23CE0">
            <w:pPr>
              <w:widowControl w:val="0"/>
              <w:spacing w:beforeLines="50" w:before="120"/>
              <w:rPr>
                <w:kern w:val="2"/>
                <w:lang w:eastAsia="zh-CN"/>
              </w:rPr>
            </w:pPr>
          </w:p>
        </w:tc>
      </w:tr>
      <w:tr w:rsidR="00C23CE0"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C23CE0" w:rsidRDefault="00C23CE0" w:rsidP="00C23CE0">
            <w:pPr>
              <w:widowControl w:val="0"/>
              <w:spacing w:beforeLines="50" w:before="120"/>
              <w:rPr>
                <w:kern w:val="2"/>
                <w:lang w:eastAsia="zh-CN"/>
              </w:rPr>
            </w:pPr>
          </w:p>
        </w:tc>
      </w:tr>
      <w:tr w:rsidR="00C23CE0"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C23CE0" w:rsidRDefault="00C23CE0" w:rsidP="00C23CE0">
            <w:pPr>
              <w:widowControl w:val="0"/>
              <w:spacing w:beforeLines="50" w:before="120"/>
              <w:rPr>
                <w:iCs/>
                <w:kern w:val="2"/>
                <w:lang w:eastAsia="zh-CN"/>
              </w:rPr>
            </w:pPr>
          </w:p>
        </w:tc>
      </w:tr>
      <w:tr w:rsidR="00C23CE0" w14:paraId="477E36F9" w14:textId="77777777" w:rsidTr="00C23CE0">
        <w:tc>
          <w:tcPr>
            <w:tcW w:w="1529" w:type="dxa"/>
          </w:tcPr>
          <w:p w14:paraId="6CB548C9" w14:textId="77777777" w:rsidR="00C23CE0" w:rsidRDefault="00C23CE0" w:rsidP="00C23CE0">
            <w:pPr>
              <w:spacing w:beforeLines="50" w:before="120"/>
              <w:rPr>
                <w:iCs/>
                <w:kern w:val="2"/>
                <w:lang w:eastAsia="zh-CN"/>
              </w:rPr>
            </w:pPr>
          </w:p>
        </w:tc>
        <w:tc>
          <w:tcPr>
            <w:tcW w:w="8105" w:type="dxa"/>
          </w:tcPr>
          <w:p w14:paraId="01B63E3C" w14:textId="77777777" w:rsidR="00C23CE0" w:rsidRDefault="00C23CE0" w:rsidP="00C23CE0">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lastRenderedPageBreak/>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Samsung</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77777777" w:rsidR="00D018C9" w:rsidRDefault="00D018C9" w:rsidP="00C23CE0">
            <w:pPr>
              <w:widowControl w:val="0"/>
              <w:spacing w:beforeLines="50" w:before="120"/>
              <w:rPr>
                <w:kern w:val="2"/>
                <w:lang w:eastAsia="zh-CN"/>
              </w:rPr>
            </w:pP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086D4874"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754F61" w14:textId="65FBD027" w:rsidR="00D018C9" w:rsidRDefault="00D018C9" w:rsidP="00C23CE0">
            <w:pPr>
              <w:spacing w:beforeLines="50" w:before="120"/>
              <w:rPr>
                <w:iCs/>
                <w:kern w:val="2"/>
                <w:lang w:eastAsia="zh-CN"/>
              </w:rPr>
            </w:pPr>
          </w:p>
        </w:tc>
      </w:tr>
      <w:tr w:rsidR="00D018C9"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D018C9" w:rsidRDefault="00D018C9" w:rsidP="00C23CE0">
            <w:pPr>
              <w:widowControl w:val="0"/>
              <w:spacing w:beforeLines="50" w:before="120"/>
              <w:rPr>
                <w:kern w:val="2"/>
                <w:lang w:eastAsia="zh-CN"/>
              </w:rPr>
            </w:pPr>
          </w:p>
        </w:tc>
      </w:tr>
      <w:tr w:rsidR="00D018C9"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D018C9" w:rsidRDefault="00D018C9" w:rsidP="00C23CE0">
            <w:pPr>
              <w:widowControl w:val="0"/>
              <w:spacing w:beforeLines="50" w:before="120"/>
              <w:rPr>
                <w:kern w:val="2"/>
                <w:lang w:eastAsia="zh-CN"/>
              </w:rPr>
            </w:pPr>
          </w:p>
        </w:tc>
      </w:tr>
      <w:tr w:rsidR="00D018C9"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D018C9" w:rsidRDefault="00D018C9" w:rsidP="00C23CE0">
            <w:pPr>
              <w:widowControl w:val="0"/>
              <w:spacing w:beforeLines="50" w:before="120"/>
              <w:rPr>
                <w:iCs/>
                <w:kern w:val="2"/>
                <w:lang w:eastAsia="zh-CN"/>
              </w:rPr>
            </w:pPr>
          </w:p>
        </w:tc>
      </w:tr>
      <w:tr w:rsidR="00D018C9" w14:paraId="062C487A" w14:textId="77777777" w:rsidTr="00C23CE0">
        <w:tc>
          <w:tcPr>
            <w:tcW w:w="1529" w:type="dxa"/>
          </w:tcPr>
          <w:p w14:paraId="5AC8535C" w14:textId="77777777" w:rsidR="00D018C9" w:rsidRDefault="00D018C9" w:rsidP="00C23CE0">
            <w:pPr>
              <w:spacing w:beforeLines="50" w:before="120"/>
              <w:rPr>
                <w:iCs/>
                <w:kern w:val="2"/>
                <w:lang w:eastAsia="zh-CN"/>
              </w:rPr>
            </w:pPr>
          </w:p>
        </w:tc>
        <w:tc>
          <w:tcPr>
            <w:tcW w:w="8105" w:type="dxa"/>
          </w:tcPr>
          <w:p w14:paraId="5232E948" w14:textId="77777777" w:rsidR="00D018C9" w:rsidRDefault="00D018C9" w:rsidP="00C23CE0">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lastRenderedPageBreak/>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77777777" w:rsidR="00B60930" w:rsidRDefault="00B60930" w:rsidP="00C23CE0">
            <w:pPr>
              <w:widowControl w:val="0"/>
              <w:spacing w:beforeLines="50" w:before="120"/>
              <w:rPr>
                <w:kern w:val="2"/>
                <w:lang w:eastAsia="zh-CN"/>
              </w:rPr>
            </w:pP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B60930"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77777777" w:rsidR="00B60930" w:rsidRDefault="00B60930"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EAF8EF" w14:textId="77777777" w:rsidR="00B60930" w:rsidRDefault="00B60930" w:rsidP="00C23CE0">
            <w:pPr>
              <w:spacing w:beforeLines="50" w:before="120"/>
              <w:rPr>
                <w:iCs/>
                <w:kern w:val="2"/>
                <w:lang w:eastAsia="zh-CN"/>
              </w:rPr>
            </w:pPr>
          </w:p>
        </w:tc>
      </w:tr>
      <w:tr w:rsidR="00B60930"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B60930" w:rsidRDefault="00B60930" w:rsidP="00C23CE0">
            <w:pPr>
              <w:widowControl w:val="0"/>
              <w:spacing w:beforeLines="50" w:before="120"/>
              <w:rPr>
                <w:kern w:val="2"/>
                <w:lang w:eastAsia="zh-CN"/>
              </w:rPr>
            </w:pPr>
          </w:p>
        </w:tc>
      </w:tr>
      <w:tr w:rsidR="00B60930"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B60930" w:rsidRDefault="00B60930" w:rsidP="00C23CE0">
            <w:pPr>
              <w:widowControl w:val="0"/>
              <w:spacing w:beforeLines="50" w:before="120"/>
              <w:rPr>
                <w:kern w:val="2"/>
                <w:lang w:eastAsia="zh-CN"/>
              </w:rPr>
            </w:pPr>
          </w:p>
        </w:tc>
      </w:tr>
      <w:tr w:rsidR="00B60930"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B60930" w:rsidRDefault="00B60930" w:rsidP="00C23CE0">
            <w:pPr>
              <w:widowControl w:val="0"/>
              <w:spacing w:beforeLines="50" w:before="120"/>
              <w:rPr>
                <w:iCs/>
                <w:kern w:val="2"/>
                <w:lang w:eastAsia="zh-CN"/>
              </w:rPr>
            </w:pPr>
          </w:p>
        </w:tc>
      </w:tr>
      <w:tr w:rsidR="00B60930" w14:paraId="0FE5342E" w14:textId="77777777" w:rsidTr="00C23CE0">
        <w:tc>
          <w:tcPr>
            <w:tcW w:w="1529" w:type="dxa"/>
          </w:tcPr>
          <w:p w14:paraId="1B240BCD" w14:textId="77777777" w:rsidR="00B60930" w:rsidRDefault="00B60930" w:rsidP="00C23CE0">
            <w:pPr>
              <w:spacing w:beforeLines="50" w:before="120"/>
              <w:rPr>
                <w:iCs/>
                <w:kern w:val="2"/>
                <w:lang w:eastAsia="zh-CN"/>
              </w:rPr>
            </w:pPr>
          </w:p>
        </w:tc>
        <w:tc>
          <w:tcPr>
            <w:tcW w:w="8105" w:type="dxa"/>
          </w:tcPr>
          <w:p w14:paraId="50E58326" w14:textId="77777777" w:rsidR="00B60930" w:rsidRDefault="00B60930" w:rsidP="00C23CE0">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77777777" w:rsidR="00C23CE0" w:rsidRDefault="00C23CE0" w:rsidP="00C23CE0">
            <w:pPr>
              <w:spacing w:beforeLines="50" w:before="120"/>
              <w:rPr>
                <w:iCs/>
                <w:kern w:val="2"/>
                <w:lang w:eastAsia="zh-CN"/>
              </w:rPr>
            </w:pPr>
            <w:r w:rsidRPr="00B60930">
              <w:rPr>
                <w:iCs/>
                <w:kern w:val="2"/>
                <w:lang w:eastAsia="zh-CN"/>
              </w:rPr>
              <w:t xml:space="preserve">Nokia/NSB, </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C23CE0"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77777777" w:rsidR="00C23CE0" w:rsidRDefault="00C23CE0"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EFBC" w14:textId="77777777" w:rsidR="00C23CE0" w:rsidRDefault="00C23CE0" w:rsidP="00C23CE0">
            <w:pPr>
              <w:spacing w:beforeLines="50" w:before="120"/>
              <w:rPr>
                <w:iCs/>
                <w:kern w:val="2"/>
                <w:lang w:eastAsia="zh-CN"/>
              </w:rPr>
            </w:pPr>
          </w:p>
        </w:tc>
      </w:tr>
      <w:tr w:rsidR="00C23CE0"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C23CE0" w:rsidRDefault="00C23CE0" w:rsidP="00C23CE0">
            <w:pPr>
              <w:widowControl w:val="0"/>
              <w:spacing w:beforeLines="50" w:before="120"/>
              <w:rPr>
                <w:kern w:val="2"/>
                <w:lang w:eastAsia="zh-CN"/>
              </w:rPr>
            </w:pPr>
          </w:p>
        </w:tc>
      </w:tr>
      <w:tr w:rsidR="00C23CE0"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C23CE0" w:rsidRDefault="00C23CE0" w:rsidP="00C23CE0">
            <w:pPr>
              <w:widowControl w:val="0"/>
              <w:spacing w:beforeLines="50" w:before="120"/>
              <w:rPr>
                <w:kern w:val="2"/>
                <w:lang w:eastAsia="zh-CN"/>
              </w:rPr>
            </w:pPr>
          </w:p>
        </w:tc>
      </w:tr>
      <w:tr w:rsidR="00C23CE0"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C23CE0" w:rsidRDefault="00C23CE0" w:rsidP="00C23CE0">
            <w:pPr>
              <w:widowControl w:val="0"/>
              <w:spacing w:beforeLines="50" w:before="120"/>
              <w:rPr>
                <w:iCs/>
                <w:kern w:val="2"/>
                <w:lang w:eastAsia="zh-CN"/>
              </w:rPr>
            </w:pPr>
          </w:p>
        </w:tc>
      </w:tr>
      <w:tr w:rsidR="00C23CE0" w14:paraId="28E163F3" w14:textId="77777777" w:rsidTr="00C23CE0">
        <w:tc>
          <w:tcPr>
            <w:tcW w:w="1529" w:type="dxa"/>
          </w:tcPr>
          <w:p w14:paraId="4A7EDE5A" w14:textId="77777777" w:rsidR="00C23CE0" w:rsidRDefault="00C23CE0" w:rsidP="00C23CE0">
            <w:pPr>
              <w:spacing w:beforeLines="50" w:before="120"/>
              <w:rPr>
                <w:iCs/>
                <w:kern w:val="2"/>
                <w:lang w:eastAsia="zh-CN"/>
              </w:rPr>
            </w:pPr>
          </w:p>
        </w:tc>
        <w:tc>
          <w:tcPr>
            <w:tcW w:w="8105" w:type="dxa"/>
          </w:tcPr>
          <w:p w14:paraId="00250FF2" w14:textId="77777777" w:rsidR="00C23CE0" w:rsidRDefault="00C23CE0" w:rsidP="00C23CE0">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77777777"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lastRenderedPageBreak/>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77777777" w:rsidR="00062866" w:rsidRDefault="00062866" w:rsidP="00C23CE0">
            <w:pPr>
              <w:spacing w:beforeLines="50" w:before="120"/>
              <w:rPr>
                <w:iCs/>
                <w:kern w:val="2"/>
                <w:lang w:eastAsia="zh-CN"/>
              </w:rPr>
            </w:pP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062866"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77777777" w:rsidR="00062866" w:rsidRDefault="00062866"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75A01B" w14:textId="77777777" w:rsidR="00062866" w:rsidRDefault="00062866" w:rsidP="00C23CE0">
            <w:pPr>
              <w:spacing w:beforeLines="50" w:before="120"/>
              <w:rPr>
                <w:iCs/>
                <w:kern w:val="2"/>
                <w:lang w:eastAsia="zh-CN"/>
              </w:rPr>
            </w:pPr>
          </w:p>
        </w:tc>
      </w:tr>
      <w:tr w:rsidR="00062866"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062866" w:rsidRDefault="00062866" w:rsidP="00C23CE0">
            <w:pPr>
              <w:widowControl w:val="0"/>
              <w:spacing w:beforeLines="50" w:before="120"/>
              <w:rPr>
                <w:kern w:val="2"/>
                <w:lang w:eastAsia="zh-CN"/>
              </w:rPr>
            </w:pPr>
          </w:p>
        </w:tc>
      </w:tr>
      <w:tr w:rsidR="00062866"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062866" w:rsidRDefault="00062866" w:rsidP="00C23CE0">
            <w:pPr>
              <w:widowControl w:val="0"/>
              <w:spacing w:beforeLines="50" w:before="120"/>
              <w:rPr>
                <w:kern w:val="2"/>
                <w:lang w:eastAsia="zh-CN"/>
              </w:rPr>
            </w:pPr>
          </w:p>
        </w:tc>
      </w:tr>
      <w:tr w:rsidR="00062866"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062866" w:rsidRDefault="00062866" w:rsidP="00C23CE0">
            <w:pPr>
              <w:widowControl w:val="0"/>
              <w:spacing w:beforeLines="50" w:before="120"/>
              <w:rPr>
                <w:iCs/>
                <w:kern w:val="2"/>
                <w:lang w:eastAsia="zh-CN"/>
              </w:rPr>
            </w:pPr>
          </w:p>
        </w:tc>
      </w:tr>
      <w:tr w:rsidR="00062866"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062866" w:rsidRDefault="00062866"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062866" w:rsidRDefault="00062866" w:rsidP="00C23CE0">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2EAB1DAB" w14:textId="77777777" w:rsidR="005024B7" w:rsidRDefault="005024B7" w:rsidP="005024B7">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759DF0F9" w14:textId="77777777" w:rsidR="005024B7" w:rsidRDefault="005024B7" w:rsidP="005024B7">
      <w:pPr>
        <w:jc w:val="both"/>
      </w:pPr>
    </w:p>
    <w:p w14:paraId="0FE5E7A5" w14:textId="77777777" w:rsidR="00062866" w:rsidRPr="00062866" w:rsidRDefault="00062866" w:rsidP="00062866">
      <w:pPr>
        <w:rPr>
          <w:b/>
          <w:bCs/>
          <w:i/>
          <w:iCs/>
          <w:sz w:val="22"/>
          <w:szCs w:val="22"/>
          <w:lang w:eastAsia="zh-CN"/>
        </w:rPr>
      </w:pPr>
    </w:p>
    <w:p w14:paraId="5CF4C3C7" w14:textId="350780CF" w:rsidR="00062866" w:rsidRDefault="00062866" w:rsidP="00EC01B6">
      <w:pPr>
        <w:rPr>
          <w:sz w:val="22"/>
          <w:szCs w:val="22"/>
          <w:lang w:eastAsia="zh-CN"/>
        </w:rPr>
      </w:pPr>
    </w:p>
    <w:p w14:paraId="7BE56507" w14:textId="2A61C9F6" w:rsidR="00062866" w:rsidRDefault="00062866" w:rsidP="00EC01B6">
      <w:pPr>
        <w:rPr>
          <w:sz w:val="22"/>
          <w:szCs w:val="22"/>
          <w:lang w:eastAsia="zh-CN"/>
        </w:rPr>
      </w:pPr>
    </w:p>
    <w:p w14:paraId="048DA522" w14:textId="77777777" w:rsidR="00062866" w:rsidRDefault="00062866" w:rsidP="00EC01B6">
      <w:pPr>
        <w:rPr>
          <w:sz w:val="22"/>
          <w:szCs w:val="22"/>
          <w:lang w:eastAsia="zh-CN"/>
        </w:rPr>
      </w:pPr>
    </w:p>
    <w:p w14:paraId="5313B3FE" w14:textId="2B7E0527" w:rsidR="00F56CC8" w:rsidRPr="00BB3A4E" w:rsidRDefault="00F56CC8" w:rsidP="00E17954">
      <w:pPr>
        <w:pStyle w:val="Heading1"/>
      </w:pPr>
      <w:r>
        <w:lastRenderedPageBreak/>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lastRenderedPageBreak/>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lastRenderedPageBreak/>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lastRenderedPageBreak/>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w:t>
      </w:r>
      <w:proofErr w:type="gramStart"/>
      <w:r>
        <w:rPr>
          <w:b/>
          <w:i/>
          <w:lang w:eastAsia="zh-CN"/>
        </w:rPr>
        <w:t>no any</w:t>
      </w:r>
      <w:proofErr w:type="gramEnd"/>
      <w:r>
        <w:rPr>
          <w:b/>
          <w:i/>
          <w:lang w:eastAsia="zh-CN"/>
        </w:rPr>
        <w:t xml:space="preserve">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w:t>
      </w:r>
      <w:proofErr w:type="gramStart"/>
      <w:r>
        <w:rPr>
          <w:b/>
          <w:bCs/>
        </w:rPr>
        <w:t>PUCCH, in case</w:t>
      </w:r>
      <w:proofErr w:type="gramEnd"/>
      <w:r>
        <w:rPr>
          <w:b/>
          <w:bCs/>
        </w:rPr>
        <w:t xml:space="preserv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w:t>
      </w:r>
      <w:proofErr w:type="spellStart"/>
      <w:r w:rsidRPr="00591C96">
        <w:rPr>
          <w:b/>
          <w:sz w:val="21"/>
          <w:szCs w:val="21"/>
          <w:lang w:eastAsia="zh-CN"/>
        </w:rPr>
        <w:t>PScell</w:t>
      </w:r>
      <w:proofErr w:type="spellEnd"/>
      <w:r w:rsidRPr="00591C96">
        <w:rPr>
          <w:b/>
          <w:sz w:val="21"/>
          <w:szCs w:val="21"/>
          <w:lang w:eastAsia="zh-CN"/>
        </w:rPr>
        <w:t>/PUCCH-SCell.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Pcell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Pcell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The reference slot (like slot0 in the table) is based on Pcell/</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w:t>
      </w:r>
      <w:proofErr w:type="gramStart"/>
      <w:r>
        <w:t>indicates</w:t>
      </w:r>
      <w:proofErr w:type="gramEnd"/>
      <w:r>
        <w:t xml:space="preserve">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35E8" w14:textId="77777777" w:rsidR="007228A5" w:rsidRDefault="007228A5">
      <w:r>
        <w:separator/>
      </w:r>
    </w:p>
  </w:endnote>
  <w:endnote w:type="continuationSeparator" w:id="0">
    <w:p w14:paraId="12361A95" w14:textId="77777777" w:rsidR="007228A5" w:rsidRDefault="007228A5">
      <w:r>
        <w:continuationSeparator/>
      </w:r>
    </w:p>
  </w:endnote>
  <w:endnote w:type="continuationNotice" w:id="1">
    <w:p w14:paraId="50993E31" w14:textId="77777777" w:rsidR="007228A5" w:rsidRDefault="007228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0D79AA9D" w:rsidR="00C23CE0" w:rsidRDefault="00C23CE0">
        <w:pPr>
          <w:pStyle w:val="Footer"/>
        </w:pPr>
        <w:r>
          <w:fldChar w:fldCharType="begin"/>
        </w:r>
        <w:r>
          <w:instrText>PAGE   \* MERGEFORMAT</w:instrText>
        </w:r>
        <w:r>
          <w:fldChar w:fldCharType="separate"/>
        </w:r>
        <w:r w:rsidRPr="00590670">
          <w:rPr>
            <w:lang w:val="zh-CN" w:eastAsia="zh-CN"/>
          </w:rPr>
          <w:t>83</w:t>
        </w:r>
        <w:r>
          <w:fldChar w:fldCharType="end"/>
        </w:r>
      </w:p>
    </w:sdtContent>
  </w:sdt>
  <w:p w14:paraId="00A820FC" w14:textId="77777777" w:rsidR="00C23CE0" w:rsidRDefault="00C23CE0">
    <w:pPr>
      <w:pStyle w:val="Footer"/>
    </w:pPr>
  </w:p>
  <w:p w14:paraId="4A48D3F3" w14:textId="77777777" w:rsidR="00C23CE0" w:rsidRDefault="00C23CE0"/>
  <w:p w14:paraId="46E31D82" w14:textId="77777777" w:rsidR="00C23CE0" w:rsidRDefault="00C23C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2C132" w14:textId="77777777" w:rsidR="007228A5" w:rsidRDefault="007228A5">
      <w:r>
        <w:separator/>
      </w:r>
    </w:p>
  </w:footnote>
  <w:footnote w:type="continuationSeparator" w:id="0">
    <w:p w14:paraId="1A7130B1" w14:textId="77777777" w:rsidR="007228A5" w:rsidRDefault="007228A5">
      <w:r>
        <w:continuationSeparator/>
      </w:r>
    </w:p>
  </w:footnote>
  <w:footnote w:type="continuationNotice" w:id="1">
    <w:p w14:paraId="6E43280F" w14:textId="77777777" w:rsidR="007228A5" w:rsidRDefault="007228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C23CE0" w:rsidRDefault="00C23CE0">
    <w:pPr>
      <w:pStyle w:val="Header"/>
      <w:tabs>
        <w:tab w:val="right" w:pos="9639"/>
      </w:tabs>
    </w:pPr>
    <w:r>
      <w:tab/>
    </w:r>
  </w:p>
  <w:p w14:paraId="246D48EC" w14:textId="77777777" w:rsidR="00C23CE0" w:rsidRDefault="00C23CE0"/>
  <w:p w14:paraId="4F6F578E" w14:textId="77777777" w:rsidR="00C23CE0" w:rsidRDefault="00C23C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5553D2-5311-4B32-96BF-44D176ED5EF1}">
  <ds:schemaRefs>
    <ds:schemaRef ds:uri="http://schemas.openxmlformats.org/officeDocument/2006/bibliography"/>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83D526AE-E2F5-472D-8396-E1708FBA8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158</Pages>
  <Words>55770</Words>
  <Characters>317893</Characters>
  <Application>Microsoft Office Word</Application>
  <DocSecurity>0</DocSecurity>
  <Lines>2649</Lines>
  <Paragraphs>745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372918</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35</cp:revision>
  <cp:lastPrinted>1901-01-01T19:00:00Z</cp:lastPrinted>
  <dcterms:created xsi:type="dcterms:W3CDTF">2021-08-18T16:27:00Z</dcterms:created>
  <dcterms:modified xsi:type="dcterms:W3CDTF">2021-08-18T21:41:00Z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