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maxDeferral}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“sps”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r>
              <w:rPr>
                <w:rFonts w:eastAsia="Malgun Gothic"/>
                <w:bCs/>
                <w:color w:val="7030A0"/>
                <w:lang w:eastAsia="ko-KR"/>
              </w:rPr>
              <w:t>spsHARQdeferral-max -&gt;HARQ</w:t>
            </w:r>
            <w:r w:rsidRPr="003F4A18">
              <w:rPr>
                <w:rFonts w:eastAsia="Malgun Gothic"/>
                <w:bCs/>
                <w:color w:val="FF0000"/>
                <w:lang w:eastAsia="ko-KR"/>
              </w:rPr>
              <w:t>-ACK</w:t>
            </w:r>
            <w:r>
              <w:rPr>
                <w:rFonts w:eastAsia="Malgun Gothic"/>
                <w:bCs/>
                <w:color w:val="7030A0"/>
                <w:lang w:eastAsia="ko-KR"/>
              </w:rPr>
              <w:t>deferral</w:t>
            </w:r>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‘sps’ there, as clearly the feature is for SPS HARQ-ACK only. In case RAN1 (or RAN2) would like to have it shorter, we could remove the ‘-max’ instead (as anyhow a single RRC parameter) of shorten the word deferral to ‘def’ or similar. But keeping the sps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r>
              <w:rPr>
                <w:rFonts w:eastAsia="Malgun Gothic"/>
                <w:bCs/>
                <w:iCs/>
                <w:lang w:eastAsia="ko-KR"/>
              </w:rPr>
              <w:t>maxDeferral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r w:rsidRPr="001C153C">
              <w:rPr>
                <w:rFonts w:eastAsia="Malgun Gothic"/>
                <w:bCs/>
                <w:i/>
                <w:lang w:eastAsia="ko-KR"/>
              </w:rPr>
              <w:t>spsHARQ</w:t>
            </w:r>
            <w:r>
              <w:rPr>
                <w:rFonts w:eastAsia="Malgun Gothic"/>
                <w:bCs/>
                <w:i/>
                <w:lang w:eastAsia="ko-KR"/>
              </w:rPr>
              <w:t>-ACK</w:t>
            </w:r>
            <w:r w:rsidRPr="001C153C">
              <w:rPr>
                <w:rFonts w:eastAsia="Malgun Gothic"/>
                <w:bCs/>
                <w:i/>
                <w:lang w:eastAsia="ko-KR"/>
              </w:rPr>
              <w:t xml:space="preserve">deferral-max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r w:rsidR="00ED05D2" w:rsidRPr="001C153C">
              <w:rPr>
                <w:rFonts w:eastAsia="Malgun Gothic"/>
                <w:bCs/>
                <w:i/>
                <w:lang w:eastAsia="ko-KR"/>
              </w:rPr>
              <w:t>spsHARQ</w:t>
            </w:r>
            <w:r w:rsidR="00ED05D2">
              <w:rPr>
                <w:rFonts w:eastAsia="Malgun Gothic"/>
                <w:bCs/>
                <w:i/>
                <w:lang w:eastAsia="ko-KR"/>
              </w:rPr>
              <w:t>-ACK</w:t>
            </w:r>
            <w:r w:rsidR="00ED05D2" w:rsidRPr="001C153C">
              <w:rPr>
                <w:rFonts w:eastAsia="Malgun Gothic"/>
                <w:bCs/>
                <w:i/>
                <w:lang w:eastAsia="ko-KR"/>
              </w:rPr>
              <w:t>deferral-max</w:t>
            </w:r>
            <w:r w:rsidR="00AA6115">
              <w:rPr>
                <w:rFonts w:eastAsia="Malgun Gothic"/>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224E36">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224E36">
            <w:pPr>
              <w:widowControl w:val="0"/>
              <w:spacing w:beforeLines="50" w:before="120"/>
              <w:rPr>
                <w:kern w:val="2"/>
                <w:lang w:eastAsia="zh-CN"/>
              </w:rPr>
            </w:pPr>
            <w:r>
              <w:rPr>
                <w:kern w:val="2"/>
                <w:lang w:eastAsia="zh-CN"/>
              </w:rPr>
              <w:t>Agreement with the other companies supporting the option that lack of SPS HARQ deferral parameter, or lack of maximum deferral time implies that SPS HARQ deferral is not activated. Agreement also with the other companies mentioning that the exact range of values of the parameter has to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ListParagraph"/>
        <w:numPr>
          <w:ilvl w:val="0"/>
          <w:numId w:val="35"/>
        </w:numPr>
      </w:pPr>
      <w:r w:rsidRPr="008666D2">
        <w:t xml:space="preserve">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r w:rsidR="00B7279A" w:rsidRPr="00F81F92">
              <w:rPr>
                <w:rFonts w:eastAsia="Malgun Gothic"/>
                <w:bCs/>
                <w:iCs/>
                <w:color w:val="7030A0"/>
                <w:lang w:eastAsia="ko-KR"/>
              </w:rPr>
              <w:t>nrofSlots’,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‘nrofSlots’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signaling.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r>
              <w:rPr>
                <w:rFonts w:eastAsia="Malgun Gothic"/>
                <w:bCs/>
                <w:iCs/>
                <w:lang w:eastAsia="ko-KR"/>
              </w:rPr>
              <w:t xml:space="preserve">So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‘nrofSlots’</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PUCCH-FormatConfig</w:t>
            </w:r>
            <w:r w:rsidR="00B22628">
              <w:rPr>
                <w:rFonts w:eastAsia="Malgun Gothic"/>
                <w:bCs/>
                <w:iCs/>
                <w:lang w:eastAsia="ko-KR"/>
              </w:rPr>
              <w:t>’</w:t>
            </w:r>
            <w:r w:rsidRPr="008E0579">
              <w:rPr>
                <w:rFonts w:eastAsia="Malgun Gothic"/>
                <w:bCs/>
                <w:iCs/>
                <w:lang w:eastAsia="ko-KR"/>
              </w:rPr>
              <w:t xml:space="preserve"> such as ‘interslotFrequencyHopping’, ‘pi2BPSK’, ‘simultaneousHARQ-ACK-CSI’</w:t>
            </w:r>
            <w:r>
              <w:rPr>
                <w:rFonts w:eastAsia="Malgun Gothic"/>
                <w:bCs/>
                <w:iCs/>
                <w:lang w:eastAsia="ko-KR"/>
              </w:rPr>
              <w:t xml:space="preserve">, and </w:t>
            </w:r>
            <w:r w:rsidRPr="008E0579">
              <w:rPr>
                <w:rFonts w:eastAsia="Malgun Gothic"/>
                <w:bCs/>
                <w:iCs/>
                <w:lang w:eastAsia="ko-KR"/>
              </w:rPr>
              <w:t>‘maxCodeRate’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Please check the proposal from HW/HiSi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ListParagraph"/>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‘nrofSlots”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ListParagraph"/>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parameters are not applicable to PF0. Then we have to update the fields accordingly (as it is done for some fields descriptions for PF1). This approach,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ListParagraph"/>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Malgun Gothic"/>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r w:rsidRPr="00AA711C">
        <w:t xml:space="preserve">Clearly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w:t>
            </w:r>
            <w:r w:rsidR="00533ABD">
              <w:rPr>
                <w:color w:val="0070C0"/>
                <w:kern w:val="2"/>
                <w:lang w:eastAsia="zh-CN"/>
              </w:rPr>
              <w:lastRenderedPageBreak/>
              <w:t xml:space="preserve">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r w:rsidRPr="00743277">
              <w:rPr>
                <w:rFonts w:eastAsia="Malgun Gothic"/>
                <w:i/>
                <w:iCs/>
                <w:color w:val="7030A0"/>
                <w:kern w:val="2"/>
                <w:lang w:eastAsia="ko-KR"/>
              </w:rPr>
              <w:t>pdsch-config</w:t>
            </w:r>
            <w:r w:rsidRPr="00743277">
              <w:rPr>
                <w:rFonts w:eastAsia="Malgun Gothic"/>
                <w:color w:val="7030A0"/>
                <w:kern w:val="2"/>
                <w:lang w:eastAsia="ko-KR"/>
              </w:rPr>
              <w:t xml:space="preserve">. For Type-3 CB triggering by DCI format 1_1, it is in </w:t>
            </w:r>
            <w:r w:rsidRPr="00743277">
              <w:rPr>
                <w:rFonts w:eastAsia="Malgun Gothic"/>
                <w:i/>
                <w:iCs/>
                <w:color w:val="7030A0"/>
                <w:kern w:val="2"/>
                <w:lang w:eastAsia="ko-KR"/>
              </w:rPr>
              <w:t>PhysicalCellGroupConfig.</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w:t>
            </w:r>
            <w:r w:rsidR="00966B9B">
              <w:rPr>
                <w:rFonts w:eastAsiaTheme="minorEastAsia"/>
                <w:kern w:val="2"/>
                <w:lang w:eastAsia="zh-CN"/>
              </w:rPr>
              <w:lastRenderedPageBreak/>
              <w:t>be configured. E.g., if two separate DCI signalings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lastRenderedPageBreak/>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ListParagraph"/>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t xml:space="preserve">For </w:t>
            </w:r>
            <w:r w:rsidRPr="00260213">
              <w:rPr>
                <w:rFonts w:cs="Times"/>
                <w:bCs/>
                <w:lang w:eastAsia="zh-CN"/>
              </w:rPr>
              <w:t>enh.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enh.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enh. </w:t>
            </w:r>
            <w:r w:rsidRPr="00553364">
              <w:rPr>
                <w:rFonts w:cs="Times"/>
                <w:bCs/>
                <w:highlight w:val="yellow"/>
                <w:lang w:eastAsia="zh-CN"/>
              </w:rPr>
              <w:t>Type 3 HARQ-ACK CBs is at least defined by RRC configuration This includes the option to configure all DL HARQ processs of all configured CCs as one enh.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signaling (value range {1…X}) on the maximum number of supported simultaneously configured enh.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6BC71521" w14:textId="41696F10" w:rsidR="00792065" w:rsidRDefault="00792065" w:rsidP="00966B9B">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lastRenderedPageBreak/>
        <w:t>CBG configuration for the enh. Type 3 HARQ-ACK CB</w:t>
      </w:r>
    </w:p>
    <w:p w14:paraId="59682D8C" w14:textId="77777777" w:rsidR="00003CD7" w:rsidRPr="00696084" w:rsidRDefault="00003CD7" w:rsidP="00521678">
      <w:pPr>
        <w:pStyle w:val="ListParagraph"/>
        <w:numPr>
          <w:ilvl w:val="1"/>
          <w:numId w:val="30"/>
        </w:numPr>
      </w:pPr>
      <w:r w:rsidRPr="00696084">
        <w:t>NDI configuration for the enh. Type 3 HARQ-ACK CB</w:t>
      </w:r>
    </w:p>
    <w:p w14:paraId="0CA83D79" w14:textId="77777777" w:rsidR="00003CD7" w:rsidRDefault="00003CD7" w:rsidP="00521678">
      <w:pPr>
        <w:pStyle w:val="ListParagraph"/>
        <w:numPr>
          <w:ilvl w:val="0"/>
          <w:numId w:val="30"/>
        </w:numPr>
      </w:pPr>
      <w:r w:rsidRPr="00696084">
        <w:t xml:space="preserve">Enabling of DCI format 1_2 operation for enh.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w:t>
            </w:r>
            <w:r>
              <w:rPr>
                <w:kern w:val="2"/>
                <w:lang w:eastAsia="zh-CN"/>
              </w:rPr>
              <w:lastRenderedPageBreak/>
              <w:t xml:space="preserve">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 xml:space="preserve">Using both “enhType3” and “OneShot” is confusing. In Rel-16, 331 uses OneShot, but 213 uses Type 3. </w:t>
            </w:r>
            <w:r w:rsidR="008F2C1F">
              <w:rPr>
                <w:rFonts w:eastAsia="Malgun Gothic"/>
                <w:bCs/>
                <w:iCs/>
                <w:color w:val="7030A0"/>
                <w:lang w:eastAsia="ko-KR"/>
              </w:rPr>
              <w:t xml:space="preserve">Also, the corresponding feature in 306 is </w:t>
            </w:r>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Enhanced OneSho</w:t>
            </w:r>
            <w:r w:rsidR="008E7A44">
              <w:rPr>
                <w:rFonts w:eastAsia="Malgun Gothic"/>
                <w:bCs/>
                <w:iCs/>
                <w:lang w:eastAsia="ko-KR"/>
              </w:rPr>
              <w:t>tFeedback</w:t>
            </w:r>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lastRenderedPageBreak/>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On the single versus separate RRC parameters for DCI format 1_2 for R16 and R17 Type 3 CB, let’s hear some more companies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 xml:space="preserve">On the RRC parameter, we can use the ‘OneShotFeedback’ naming, but at least I would suggest to include the ‘Enh’ there as well (i.e. </w:t>
            </w:r>
            <w:r w:rsidRPr="00745F1C">
              <w:rPr>
                <w:rFonts w:eastAsia="Malgun Gothic"/>
                <w:bCs/>
                <w:iCs/>
                <w:lang w:eastAsia="ko-KR"/>
              </w:rPr>
              <w:t>pdsch-HARQ-ACK-</w:t>
            </w:r>
            <w:r w:rsidRPr="00745F1C">
              <w:rPr>
                <w:rFonts w:eastAsia="Malgun Gothic"/>
                <w:bCs/>
                <w:iCs/>
                <w:color w:val="FF0000"/>
                <w:lang w:eastAsia="ko-KR"/>
              </w:rPr>
              <w:t>Enh</w:t>
            </w:r>
            <w:r w:rsidRPr="00745F1C">
              <w:rPr>
                <w:rFonts w:eastAsia="Malgun Gothic"/>
                <w:bCs/>
                <w:iCs/>
                <w:lang w:eastAsia="ko-KR"/>
              </w:rPr>
              <w:t>OneShotFeedback</w:t>
            </w:r>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sps deferral </w:t>
            </w:r>
            <w:r w:rsidRPr="00745F1C">
              <w:rPr>
                <w:bCs/>
                <w:iCs/>
                <w:color w:val="0070C0"/>
                <w:szCs w:val="22"/>
                <w:lang w:eastAsia="sv-SE"/>
              </w:rPr>
              <w:t>seems to be worried about the length of the RRC parameter names. Having ‘</w:t>
            </w:r>
            <w:r w:rsidRPr="00745F1C">
              <w:rPr>
                <w:bCs/>
                <w:i/>
                <w:color w:val="0070C0"/>
                <w:szCs w:val="22"/>
                <w:lang w:eastAsia="sv-SE"/>
              </w:rPr>
              <w:t>EnhOneShotFeedback</w:t>
            </w:r>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ToAddModList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This had been the reason to try to chose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not use Type 3 in some place and ‘one shot triggering’ in other places). As Ericsson comment in the next section, the wording of one short refers to getting all the HARQ information in a single ‘shot’. This is actually not trued with the enh. Type 3 CB anymore, as only a subset is to be reported.</w:t>
            </w:r>
            <w:r>
              <w:rPr>
                <w:bCs/>
                <w:iCs/>
                <w:color w:val="0070C0"/>
                <w:szCs w:val="22"/>
                <w:lang w:eastAsia="sv-SE"/>
              </w:rPr>
              <w:br/>
              <w:t xml:space="preserve">We can change the naming of the main RRC parameter for the enh.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Having those in yellow will make it easier for companies in their input to RAN1#106bis- to have related proposals in their TDocs</w:t>
            </w:r>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to remove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lastRenderedPageBreak/>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If we should have separate RRC parameter to enable the DCI 1_2 triggering for Rel-16 Type 3 CB and Rel-17 Enh.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Enhanced OneShotFeedback</w:t>
            </w:r>
            <w:r>
              <w:rPr>
                <w:rFonts w:eastAsia="Malgun Gothic"/>
                <w:bCs/>
                <w:iCs/>
                <w:color w:val="0070C0"/>
                <w:lang w:eastAsia="ko-KR"/>
              </w:rPr>
              <w:t xml:space="preserve">’- see the discussions with Ericsson above 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r w:rsidRPr="00A71556">
              <w:rPr>
                <w:bCs/>
                <w:i/>
                <w:szCs w:val="22"/>
                <w:lang w:eastAsia="sv-SE"/>
              </w:rPr>
              <w:t>pdsch-HARQ-ACK-</w:t>
            </w:r>
            <w:r w:rsidRPr="00A71556">
              <w:rPr>
                <w:bCs/>
                <w:i/>
                <w:color w:val="FF0000"/>
                <w:szCs w:val="22"/>
                <w:highlight w:val="yellow"/>
                <w:lang w:eastAsia="sv-SE"/>
              </w:rPr>
              <w:t>Enh</w:t>
            </w:r>
            <w:r w:rsidRPr="00A71556">
              <w:rPr>
                <w:bCs/>
                <w:i/>
                <w:szCs w:val="22"/>
                <w:lang w:eastAsia="sv-SE"/>
              </w:rPr>
              <w:t>OneShotFeedback</w:t>
            </w:r>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r w:rsidRPr="00363A19">
              <w:rPr>
                <w:rFonts w:eastAsia="Malgun Gothic"/>
                <w:bCs/>
                <w:iCs/>
                <w:color w:val="7030A0"/>
                <w:lang w:eastAsia="ko-KR"/>
              </w:rPr>
              <w:t xml:space="preserve">Thanks Moderator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cold be integrated under the same </w:t>
            </w:r>
            <w:r w:rsidR="007402E6" w:rsidRPr="00363A19">
              <w:rPr>
                <w:rFonts w:eastAsia="Malgun Gothic"/>
                <w:bCs/>
                <w:iCs/>
                <w:color w:val="7030A0"/>
                <w:lang w:eastAsia="ko-KR"/>
              </w:rPr>
              <w:t xml:space="preserve">sub-featue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 xml:space="preserve">keep it consistent with RAN2 spec. Therefore, the main point is to use “OneShot” instead of “Type 3”. Then, definitely, we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ListParagraph"/>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ListParagraph"/>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ListParagraph"/>
              <w:widowControl w:val="0"/>
              <w:numPr>
                <w:ilvl w:val="0"/>
                <w:numId w:val="0"/>
              </w:numPr>
              <w:spacing w:beforeLines="50" w:before="120"/>
              <w:ind w:left="1440"/>
              <w:rPr>
                <w:rFonts w:eastAsia="Malgun Gothic"/>
                <w:bCs/>
                <w:iCs/>
                <w:color w:val="7030A0"/>
                <w:lang w:eastAsia="ko-KR"/>
              </w:rPr>
            </w:pPr>
          </w:p>
          <w:p w14:paraId="75B54503" w14:textId="27537C77" w:rsidR="00B0077D" w:rsidRDefault="00B0077D" w:rsidP="00511E28">
            <w:pPr>
              <w:pStyle w:val="ListParagraph"/>
              <w:widowControl w:val="0"/>
              <w:numPr>
                <w:ilvl w:val="0"/>
                <w:numId w:val="0"/>
              </w:numPr>
              <w:spacing w:beforeLines="50" w:before="120"/>
              <w:ind w:left="720"/>
              <w:rPr>
                <w:rFonts w:eastAsia="Malgun Gothic"/>
                <w:bCs/>
                <w:iCs/>
                <w:color w:val="0070C0"/>
                <w:lang w:eastAsia="ko-KR"/>
              </w:rPr>
            </w:pPr>
          </w:p>
          <w:p w14:paraId="23357CAE" w14:textId="2D381C8D" w:rsidR="00B0077D" w:rsidRPr="0047141C" w:rsidRDefault="00B0077D" w:rsidP="00B0077D">
            <w:pPr>
              <w:pStyle w:val="ListParagraph"/>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3806BE55" w14:textId="5A1D34D0" w:rsidR="00F4749E" w:rsidRP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now, since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07BDBFF9" w14:textId="0C7AB314" w:rsidR="00D246F9" w:rsidRDefault="00D246F9" w:rsidP="00D246F9">
            <w:pPr>
              <w:pStyle w:val="TAL"/>
              <w:rPr>
                <w:rFonts w:ascii="Times New Roman" w:eastAsia="Malgun Gothic" w:hAnsi="Times New Roman"/>
                <w:bCs/>
                <w:iCs/>
                <w:sz w:val="20"/>
                <w:lang w:eastAsia="ko-KR"/>
              </w:rPr>
            </w:pPr>
            <w:r w:rsidRPr="00D246F9">
              <w:rPr>
                <w:rFonts w:ascii="Times New Roman" w:eastAsia="Malgun Gothic" w:hAnsi="Times New Roman"/>
                <w:bCs/>
                <w:iCs/>
                <w:sz w:val="20"/>
                <w:lang w:eastAsia="ko-KR"/>
              </w:rPr>
              <w:t>In general</w:t>
            </w:r>
            <w:r w:rsidRPr="00D246F9">
              <w:rPr>
                <w:rFonts w:ascii="Times New Roman" w:eastAsia="Malgun Gothic" w:hAnsi="Times New Roman"/>
                <w:bCs/>
                <w:iCs/>
                <w:sz w:val="20"/>
                <w:lang w:eastAsia="ko-KR"/>
              </w:rPr>
              <w:t>,</w:t>
            </w:r>
            <w:r w:rsidRPr="00D246F9">
              <w:rPr>
                <w:rFonts w:ascii="Times New Roman" w:eastAsia="Malgun Gothic" w:hAnsi="Times New Roman"/>
                <w:bCs/>
                <w:iCs/>
                <w:sz w:val="20"/>
                <w:lang w:eastAsia="ko-KR"/>
              </w:rPr>
              <w:t xml:space="preserve"> </w:t>
            </w:r>
            <w:r w:rsidRPr="00D246F9">
              <w:rPr>
                <w:rFonts w:ascii="Times New Roman" w:eastAsia="Malgun Gothic" w:hAnsi="Times New Roman"/>
                <w:bCs/>
                <w:iCs/>
                <w:sz w:val="20"/>
                <w:lang w:eastAsia="ko-KR"/>
              </w:rPr>
              <w:t xml:space="preserve">we </w:t>
            </w:r>
            <w:r>
              <w:rPr>
                <w:rFonts w:ascii="Times New Roman" w:eastAsia="Malgun Gothic" w:hAnsi="Times New Roman"/>
                <w:bCs/>
                <w:iCs/>
                <w:sz w:val="20"/>
                <w:lang w:eastAsia="ko-KR"/>
              </w:rPr>
              <w:t>don’t see the need to</w:t>
            </w:r>
            <w:r w:rsidRPr="00D246F9">
              <w:rPr>
                <w:rFonts w:ascii="Times New Roman" w:eastAsia="Malgun Gothic"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Malgun Gothic" w:hAnsi="Times New Roman"/>
                <w:bCs/>
                <w:iCs/>
                <w:sz w:val="20"/>
                <w:lang w:eastAsia="ko-KR"/>
              </w:rPr>
            </w:pPr>
          </w:p>
          <w:p w14:paraId="7FDC7EF1" w14:textId="157A5B2C" w:rsidR="00D246F9" w:rsidRDefault="00D246F9" w:rsidP="00D246F9">
            <w:pPr>
              <w:rPr>
                <w:rFonts w:eastAsia="Malgun Gothic"/>
                <w:bCs/>
                <w:iCs/>
                <w:lang w:eastAsia="ko-KR"/>
              </w:rPr>
            </w:pPr>
            <w:r w:rsidRPr="00D246F9">
              <w:rPr>
                <w:rFonts w:eastAsia="Malgun Gothic"/>
                <w:bCs/>
                <w:iCs/>
                <w:lang w:eastAsia="ko-KR"/>
              </w:rPr>
              <w:t>Agreement with Ericsson here: no need for a list with candidate agreements or topics of discussion. The moderator already sends the outlook at the end of each meeting. Moreover, at the end of this work item, companies are well aware of the important topics.</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lastRenderedPageBreak/>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enh. Type 2 CB and the Rel-16 Type 3 CB triggering we do no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HARQ-ACK</w:t>
            </w:r>
            <w:r w:rsidR="00531056" w:rsidRPr="008F6795">
              <w:rPr>
                <w:rFonts w:eastAsia="Malgun Gothic"/>
                <w:bCs/>
                <w:iCs/>
                <w:color w:val="7030A0"/>
                <w:lang w:eastAsia="ko-KR"/>
              </w:rPr>
              <w:t>retx”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OneShotHARQ-ACKFeedback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lastRenderedPageBreak/>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“pdsh-HARQ-ACK-retx”-&gt;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 xml:space="preserve">“HARQ-ACK-retx”.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‘oneshot’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Change of RRC parameter name to remove ‘pdsch-‘, it is true that no all HARQ is corresponding to PDSCH, but isn’t this the same or all the other RRC parameters (except Type 3 CB) that we are having? (i.e. Type 1 / Type 2 / enh. Type 2 CB – pdsch to HaRQ offset i.e. k1 is also appliable for other HARQ, although no PDSCH there for SPS release). So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Row 31: Similarly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re-tx)</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 xml:space="preserve">Change in v04: only the feature group naming (remove the word ‘oneshot’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Thanks Moderator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We are fine to keep pdsch</w:t>
            </w:r>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ncern why we fear that it is not a common understanding.</w:t>
            </w:r>
            <w:r w:rsidR="00D556E8">
              <w:rPr>
                <w:rFonts w:eastAsia="Malgun Gothic"/>
                <w:bCs/>
                <w:iCs/>
                <w:color w:val="7030A0"/>
                <w:lang w:val="en-US" w:eastAsia="ko-KR"/>
              </w:rPr>
              <w:t>.</w:t>
            </w:r>
          </w:p>
          <w:p w14:paraId="502217EB" w14:textId="3D6AE854" w:rsidR="003D3F91" w:rsidRPr="00045DD0" w:rsidRDefault="003D3F91" w:rsidP="00227D4A">
            <w:pPr>
              <w:widowControl w:val="0"/>
              <w:spacing w:beforeLines="50" w:before="120"/>
              <w:rPr>
                <w:rFonts w:eastAsia="Malgun Gothic"/>
                <w:bCs/>
                <w:iCs/>
                <w:color w:val="0070C0"/>
                <w:lang w:val="en-US" w:eastAsia="ko-KR"/>
              </w:rPr>
            </w:pP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t>Lenovo/Motorola Mobility</w:t>
            </w:r>
          </w:p>
        </w:tc>
        <w:tc>
          <w:tcPr>
            <w:tcW w:w="8105" w:type="dxa"/>
          </w:tcPr>
          <w:p w14:paraId="3D1C2DF7" w14:textId="3AA9B21D" w:rsidR="001057D8" w:rsidRPr="001057D8" w:rsidRDefault="00350C0D" w:rsidP="00227D4A">
            <w:pPr>
              <w:widowControl w:val="0"/>
              <w:spacing w:beforeLines="50" w:before="120"/>
              <w:rPr>
                <w:rFonts w:eastAsia="Malgun Gothic"/>
                <w:bCs/>
                <w:iCs/>
                <w:lang w:eastAsia="ko-KR"/>
              </w:rPr>
            </w:pPr>
            <w:r>
              <w:t>Fine with the latest moderator proposal</w:t>
            </w:r>
            <w:r w:rsidR="0070190F">
              <w:t>, with excluding the parameter which does not have agreement.</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50A4D764" w14:textId="56EEFE79" w:rsidR="004B6D04" w:rsidRDefault="004B6D04" w:rsidP="00227D4A">
            <w:pPr>
              <w:widowControl w:val="0"/>
              <w:spacing w:beforeLines="50" w:before="120"/>
            </w:pPr>
            <w:r>
              <w:rPr>
                <w:kern w:val="2"/>
                <w:lang w:eastAsia="zh-CN"/>
              </w:rPr>
              <w:t>Agreement with other companies that RRC parameters for the first 2 points. The offset value is very controversial and far from being agreed.</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627"/>
        <w:gridCol w:w="8007"/>
      </w:tblGrid>
      <w:tr w:rsidR="00003CD7" w14:paraId="6F2046AB"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7006EE">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lastRenderedPageBreak/>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7006EE">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7006EE">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7006EE">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7006EE">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7006EE">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p w14:paraId="02AD8497" w14:textId="549212A0" w:rsidR="00700691" w:rsidRPr="00B4062A" w:rsidRDefault="00700691" w:rsidP="001B00A3">
            <w:pPr>
              <w:jc w:val="both"/>
              <w:rPr>
                <w:b/>
                <w:bCs/>
                <w:i/>
                <w:iCs/>
              </w:rPr>
            </w:pPr>
            <w:r w:rsidRPr="0030004B">
              <w:rPr>
                <w:rFonts w:eastAsia="Malgun Gothic"/>
                <w:color w:val="0070C0"/>
                <w:lang w:eastAsia="ko-KR"/>
              </w:rPr>
              <w:t xml:space="preserve">Moderator: </w:t>
            </w:r>
            <w:r>
              <w:rPr>
                <w:rFonts w:eastAsia="Malgun Gothic"/>
                <w:color w:val="0070C0"/>
                <w:lang w:eastAsia="ko-KR"/>
              </w:rPr>
              <w:t>Just to check - would this save any RRC overhead (as the maximum length would still be given by maxnrofSlots) – and then we could have two RRC parameters for each of the entries (where the second one ‘slot length’ would need to be again up to a very large integer number?</w:t>
            </w:r>
          </w:p>
        </w:tc>
      </w:tr>
      <w:tr w:rsidR="00372A8B" w:rsidRPr="00E16292" w14:paraId="083D8821" w14:textId="77777777" w:rsidTr="007006EE">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If these three row are to be kept (being less controversial than row 36), we ask to remove “or carriers” or add FFS:</w:t>
            </w:r>
            <w:r w:rsidR="006E28CF" w:rsidRPr="00875F90">
              <w:rPr>
                <w:rFonts w:eastAsia="Malgun Gothic"/>
                <w:color w:val="7030A0"/>
                <w:lang w:eastAsia="ko-KR"/>
              </w:rPr>
              <w:t>or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lastRenderedPageBreak/>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Row 42,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7006EE">
        <w:tc>
          <w:tcPr>
            <w:tcW w:w="1529"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700691">
        <w:tc>
          <w:tcPr>
            <w:tcW w:w="1529"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105"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700691">
        <w:tc>
          <w:tcPr>
            <w:tcW w:w="1529"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105" w:type="dxa"/>
          </w:tcPr>
          <w:p w14:paraId="1A9536D0" w14:textId="070579A3" w:rsidR="008F156A" w:rsidRPr="00170685" w:rsidRDefault="008F156A" w:rsidP="00227D4A">
            <w:pPr>
              <w:jc w:val="both"/>
              <w:rPr>
                <w:rFonts w:eastAsia="Malgun Gothic"/>
                <w:color w:val="7030A0"/>
                <w:lang w:eastAsia="ko-KR"/>
              </w:rPr>
            </w:pPr>
          </w:p>
          <w:p w14:paraId="78181D41" w14:textId="0A6A45A4" w:rsidR="00BD6986" w:rsidRPr="00170685"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have to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to keep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3E4BBD09" w:rsidR="00723490" w:rsidRPr="00170685" w:rsidRDefault="00723490" w:rsidP="00170685">
            <w:pPr>
              <w:jc w:val="both"/>
              <w:rPr>
                <w:rFonts w:eastAsia="Malgun Gothic"/>
                <w:color w:val="7030A0"/>
                <w:lang w:eastAsia="ko-KR"/>
              </w:rPr>
            </w:pPr>
          </w:p>
        </w:tc>
      </w:tr>
      <w:tr w:rsidR="0089266A" w:rsidRPr="00A722F5" w14:paraId="16328E09" w14:textId="77777777" w:rsidTr="00700691">
        <w:tc>
          <w:tcPr>
            <w:tcW w:w="1529"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t>Lenovo/Motorola Mobility</w:t>
            </w:r>
          </w:p>
        </w:tc>
        <w:tc>
          <w:tcPr>
            <w:tcW w:w="8105"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r w:rsidR="00EA6FD4" w:rsidRPr="00A722F5" w14:paraId="34BE32B7" w14:textId="77777777" w:rsidTr="00700691">
        <w:tc>
          <w:tcPr>
            <w:tcW w:w="1529" w:type="dxa"/>
          </w:tcPr>
          <w:p w14:paraId="23C3498D" w14:textId="1671BF0C" w:rsidR="00EA6FD4" w:rsidRPr="0089266A" w:rsidRDefault="00EA6FD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15E95DBF" w14:textId="4393E433" w:rsidR="00EA6FD4" w:rsidRDefault="00EA6FD4" w:rsidP="00227D4A">
            <w:pPr>
              <w:jc w:val="both"/>
              <w:rPr>
                <w:rFonts w:eastAsia="Malgun Gothic"/>
                <w:lang w:eastAsia="ko-KR"/>
              </w:rPr>
            </w:pPr>
            <w:r>
              <w:rPr>
                <w:kern w:val="2"/>
                <w:lang w:eastAsia="zh-CN"/>
              </w:rPr>
              <w:lastRenderedPageBreak/>
              <w:t>A question on row 38 “</w:t>
            </w:r>
            <w:r w:rsidRPr="00653810">
              <w:rPr>
                <w:kern w:val="2"/>
                <w:lang w:eastAsia="zh-CN"/>
              </w:rPr>
              <w:t>tpc_IndexPUCCH-ScellSwitch</w:t>
            </w:r>
            <w:r>
              <w:rPr>
                <w:kern w:val="2"/>
                <w:lang w:eastAsia="zh-CN"/>
              </w:rPr>
              <w:t>” for clarification: we already have row 37 “</w:t>
            </w:r>
            <w:r w:rsidRPr="00653810">
              <w:rPr>
                <w:kern w:val="2"/>
                <w:lang w:eastAsia="zh-CN"/>
              </w:rPr>
              <w:t>tpc-IndexPUCCH-Scell-list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BBD8" w14:textId="77777777" w:rsidR="00526265" w:rsidRDefault="00526265">
      <w:r>
        <w:separator/>
      </w:r>
    </w:p>
  </w:endnote>
  <w:endnote w:type="continuationSeparator" w:id="0">
    <w:p w14:paraId="5EA15B21" w14:textId="77777777" w:rsidR="00526265" w:rsidRDefault="00526265">
      <w:r>
        <w:continuationSeparator/>
      </w:r>
    </w:p>
  </w:endnote>
  <w:endnote w:type="continuationNotice" w:id="1">
    <w:p w14:paraId="6928ABB7" w14:textId="77777777" w:rsidR="00526265" w:rsidRDefault="005262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8B0D" w14:textId="77777777" w:rsidR="00526265" w:rsidRDefault="00526265">
      <w:r>
        <w:separator/>
      </w:r>
    </w:p>
  </w:footnote>
  <w:footnote w:type="continuationSeparator" w:id="0">
    <w:p w14:paraId="3DFDE867" w14:textId="77777777" w:rsidR="00526265" w:rsidRDefault="00526265">
      <w:r>
        <w:continuationSeparator/>
      </w:r>
    </w:p>
  </w:footnote>
  <w:footnote w:type="continuationNotice" w:id="1">
    <w:p w14:paraId="61465218" w14:textId="77777777" w:rsidR="00526265" w:rsidRDefault="0052626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0"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1"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6"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6"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5"/>
  </w:num>
  <w:num w:numId="2">
    <w:abstractNumId w:val="2"/>
  </w:num>
  <w:num w:numId="3">
    <w:abstractNumId w:val="27"/>
  </w:num>
  <w:num w:numId="4">
    <w:abstractNumId w:val="48"/>
  </w:num>
  <w:num w:numId="5">
    <w:abstractNumId w:val="30"/>
  </w:num>
  <w:num w:numId="6">
    <w:abstractNumId w:val="24"/>
  </w:num>
  <w:num w:numId="7">
    <w:abstractNumId w:val="3"/>
  </w:num>
  <w:num w:numId="8">
    <w:abstractNumId w:val="45"/>
  </w:num>
  <w:num w:numId="9">
    <w:abstractNumId w:val="19"/>
  </w:num>
  <w:num w:numId="10">
    <w:abstractNumId w:val="38"/>
  </w:num>
  <w:num w:numId="11">
    <w:abstractNumId w:val="25"/>
  </w:num>
  <w:num w:numId="12">
    <w:abstractNumId w:val="12"/>
  </w:num>
  <w:num w:numId="13">
    <w:abstractNumId w:val="1"/>
  </w:num>
  <w:num w:numId="14">
    <w:abstractNumId w:val="43"/>
  </w:num>
  <w:num w:numId="15">
    <w:abstractNumId w:val="0"/>
  </w:num>
  <w:num w:numId="16">
    <w:abstractNumId w:val="33"/>
  </w:num>
  <w:num w:numId="17">
    <w:abstractNumId w:val="35"/>
  </w:num>
  <w:num w:numId="18">
    <w:abstractNumId w:val="47"/>
  </w:num>
  <w:num w:numId="19">
    <w:abstractNumId w:val="13"/>
  </w:num>
  <w:num w:numId="20">
    <w:abstractNumId w:val="22"/>
  </w:num>
  <w:num w:numId="21">
    <w:abstractNumId w:val="14"/>
  </w:num>
  <w:num w:numId="22">
    <w:abstractNumId w:val="11"/>
  </w:num>
  <w:num w:numId="23">
    <w:abstractNumId w:val="20"/>
  </w:num>
  <w:num w:numId="24">
    <w:abstractNumId w:val="41"/>
  </w:num>
  <w:num w:numId="25">
    <w:abstractNumId w:val="23"/>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2"/>
  </w:num>
  <w:num w:numId="31">
    <w:abstractNumId w:val="18"/>
  </w:num>
  <w:num w:numId="32">
    <w:abstractNumId w:val="21"/>
  </w:num>
  <w:num w:numId="33">
    <w:abstractNumId w:val="39"/>
  </w:num>
  <w:num w:numId="34">
    <w:abstractNumId w:val="26"/>
  </w:num>
  <w:num w:numId="35">
    <w:abstractNumId w:val="32"/>
  </w:num>
  <w:num w:numId="36">
    <w:abstractNumId w:val="9"/>
  </w:num>
  <w:num w:numId="37">
    <w:abstractNumId w:val="44"/>
  </w:num>
  <w:num w:numId="38">
    <w:abstractNumId w:val="36"/>
  </w:num>
  <w:num w:numId="39">
    <w:abstractNumId w:val="37"/>
  </w:num>
  <w:num w:numId="40">
    <w:abstractNumId w:val="40"/>
  </w:num>
  <w:num w:numId="41">
    <w:abstractNumId w:val="17"/>
  </w:num>
  <w:num w:numId="42">
    <w:abstractNumId w:val="5"/>
  </w:num>
  <w:num w:numId="43">
    <w:abstractNumId w:val="46"/>
  </w:num>
  <w:num w:numId="44">
    <w:abstractNumId w:val="34"/>
  </w:num>
  <w:num w:numId="45">
    <w:abstractNumId w:val="8"/>
  </w:num>
  <w:num w:numId="46">
    <w:abstractNumId w:val="10"/>
  </w:num>
  <w:num w:numId="47">
    <w:abstractNumId w:val="6"/>
  </w:num>
  <w:num w:numId="48">
    <w:abstractNumId w:val="31"/>
  </w:num>
  <w:num w:numId="49">
    <w:abstractNumId w:val="7"/>
  </w:num>
  <w:num w:numId="50">
    <w:abstractNumId w:val="28"/>
  </w:num>
  <w:num w:numId="51">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8607D9DE-0B06-46F3-82A4-72DDDBCD4D7A}">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562</TotalTime>
  <Pages>20</Pages>
  <Words>8772</Words>
  <Characters>50004</Characters>
  <Application>Microsoft Office Word</Application>
  <DocSecurity>0</DocSecurity>
  <Lines>416</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Qualcomm</cp:lastModifiedBy>
  <cp:revision>164</cp:revision>
  <cp:lastPrinted>2016-06-22T11:35:00Z</cp:lastPrinted>
  <dcterms:created xsi:type="dcterms:W3CDTF">2021-09-08T10:45:00Z</dcterms:created>
  <dcterms:modified xsi:type="dcterms:W3CDTF">2021-09-09T02:53:00Z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