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19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76196"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425"/>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425"/>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0976197" r:id="rId16"/>
              </w:object>
            </w:r>
          </w:p>
        </w:tc>
        <w:tc>
          <w:tcPr>
            <w:tcW w:w="4920" w:type="dxa"/>
            <w:shd w:val="clear" w:color="auto" w:fill="auto"/>
          </w:tcPr>
          <w:p w14:paraId="038439D0"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425"/>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425"/>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0976198" r:id="rId17"/>
              </w:object>
            </w:r>
          </w:p>
        </w:tc>
        <w:tc>
          <w:tcPr>
            <w:tcW w:w="5777" w:type="dxa"/>
            <w:shd w:val="clear" w:color="auto" w:fill="auto"/>
          </w:tcPr>
          <w:p w14:paraId="444C8372"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425"/>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425"/>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0976199"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0976200" r:id="rId19"/>
              </w:object>
            </w:r>
          </w:p>
        </w:tc>
        <w:tc>
          <w:tcPr>
            <w:tcW w:w="4920" w:type="dxa"/>
            <w:shd w:val="clear" w:color="auto" w:fill="auto"/>
          </w:tcPr>
          <w:p w14:paraId="0E36E6CF"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0976201" r:id="rId20"/>
              </w:object>
            </w:r>
          </w:p>
        </w:tc>
        <w:tc>
          <w:tcPr>
            <w:tcW w:w="5777" w:type="dxa"/>
            <w:shd w:val="clear" w:color="auto" w:fill="auto"/>
          </w:tcPr>
          <w:p w14:paraId="1399CB68"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76202"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76203" r:id="rId23"/>
              </w:object>
            </w:r>
          </w:p>
        </w:tc>
        <w:tc>
          <w:tcPr>
            <w:tcW w:w="4920" w:type="dxa"/>
            <w:shd w:val="clear" w:color="auto" w:fill="auto"/>
          </w:tcPr>
          <w:p w14:paraId="3BFCD73F"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76204" r:id="rId24"/>
              </w:object>
            </w:r>
          </w:p>
        </w:tc>
        <w:tc>
          <w:tcPr>
            <w:tcW w:w="5777" w:type="dxa"/>
            <w:shd w:val="clear" w:color="auto" w:fill="auto"/>
          </w:tcPr>
          <w:p w14:paraId="0F354793"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0976205"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0976206"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28"/>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0976207" r:id="rId28"/>
                    </w:object>
                  </w:r>
                </w:p>
              </w:tc>
              <w:tc>
                <w:tcPr>
                  <w:tcW w:w="4920" w:type="dxa"/>
                  <w:shd w:val="clear" w:color="auto" w:fill="auto"/>
                </w:tcPr>
                <w:p w14:paraId="3E59E69B"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0976208" r:id="rId29"/>
                    </w:object>
                  </w:r>
                </w:p>
              </w:tc>
              <w:tc>
                <w:tcPr>
                  <w:tcW w:w="5777" w:type="dxa"/>
                  <w:shd w:val="clear" w:color="auto" w:fill="auto"/>
                </w:tcPr>
                <w:p w14:paraId="03E42D48"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0976209"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0976210" r:id="rId32"/>
              </w:object>
            </w:r>
          </w:p>
        </w:tc>
        <w:tc>
          <w:tcPr>
            <w:tcW w:w="4920" w:type="dxa"/>
            <w:shd w:val="clear" w:color="auto" w:fill="auto"/>
          </w:tcPr>
          <w:p w14:paraId="5C1395B9"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0976211" r:id="rId33"/>
              </w:object>
            </w:r>
          </w:p>
        </w:tc>
        <w:tc>
          <w:tcPr>
            <w:tcW w:w="5777" w:type="dxa"/>
            <w:shd w:val="clear" w:color="auto" w:fill="auto"/>
          </w:tcPr>
          <w:p w14:paraId="1D1CD349"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0976212"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0976213" r:id="rId35"/>
              </w:object>
            </w:r>
          </w:p>
        </w:tc>
        <w:tc>
          <w:tcPr>
            <w:tcW w:w="4920" w:type="dxa"/>
            <w:shd w:val="clear" w:color="auto" w:fill="auto"/>
          </w:tcPr>
          <w:p w14:paraId="5DD412E7"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0976214" r:id="rId36"/>
              </w:object>
            </w:r>
          </w:p>
        </w:tc>
        <w:tc>
          <w:tcPr>
            <w:tcW w:w="5777" w:type="dxa"/>
            <w:shd w:val="clear" w:color="auto" w:fill="auto"/>
          </w:tcPr>
          <w:p w14:paraId="0E0A7019" w14:textId="77777777" w:rsidR="00E14403" w:rsidRDefault="00940723">
            <w:pPr>
              <w:pStyle w:val="TAC"/>
              <w:ind w:firstLineChars="750" w:firstLine="142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42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7D22A0" w14:paraId="1B32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8405C80" w14:textId="322D2610"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829807A" w14:textId="0919FB8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3643A" w14:paraId="0AD0CE1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3723F0" w14:textId="50104B7F" w:rsidR="0053643A" w:rsidRDefault="0053643A"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7A01B226"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2E1C527E"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0F957AD3"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7495BC54" w14:textId="77777777" w:rsidR="0053643A" w:rsidRDefault="0053643A" w:rsidP="0053643A">
            <w:pPr>
              <w:pStyle w:val="BodyText"/>
              <w:numPr>
                <w:ilvl w:val="0"/>
                <w:numId w:val="50"/>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2F66CDE4" w14:textId="77777777" w:rsidR="0053643A" w:rsidRPr="00235951" w:rsidRDefault="0053643A" w:rsidP="0053643A">
            <w:pPr>
              <w:pStyle w:val="BodyText"/>
              <w:numPr>
                <w:ilvl w:val="0"/>
                <w:numId w:val="50"/>
              </w:numPr>
              <w:spacing w:after="0" w:line="240" w:lineRule="auto"/>
              <w:jc w:val="left"/>
              <w:rPr>
                <w:rFonts w:ascii="Times New Roman" w:hAnsi="Times New Roman"/>
                <w:szCs w:val="20"/>
                <w:lang w:eastAsia="zh-CN"/>
              </w:rPr>
            </w:pPr>
            <w:r w:rsidRPr="00235951">
              <w:rPr>
                <w:rFonts w:ascii="Times New Roman" w:hAnsi="Times New Roman"/>
                <w:szCs w:val="20"/>
                <w:lang w:eastAsia="zh-CN"/>
              </w:rPr>
              <w:t xml:space="preserve">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w:t>
            </w:r>
            <w:r>
              <w:rPr>
                <w:rFonts w:ascii="Times New Roman" w:hAnsi="Times New Roman"/>
                <w:szCs w:val="20"/>
                <w:lang w:eastAsia="zh-CN"/>
              </w:rPr>
              <w:t>The other issue of changing timeline requirement is the related scheduling design, e.g., whether BD/CCE limit need to adjust, whether HARQ ID number need to decrease/increase, which can draw a lot of discussion only one value can be agreed.</w:t>
            </w:r>
          </w:p>
          <w:p w14:paraId="15F5628C" w14:textId="77777777" w:rsidR="0053643A" w:rsidRDefault="0053643A" w:rsidP="0053643A">
            <w:pPr>
              <w:pStyle w:val="BodyText"/>
              <w:spacing w:after="0" w:line="240" w:lineRule="auto"/>
              <w:rPr>
                <w:rFonts w:ascii="Times New Roman" w:hAnsi="Times New Roman"/>
                <w:szCs w:val="20"/>
                <w:lang w:eastAsia="zh-CN"/>
              </w:rPr>
            </w:pPr>
          </w:p>
          <w:p w14:paraId="01D2499D" w14:textId="77777777" w:rsidR="0053643A" w:rsidRDefault="0053643A"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046AA88D" w14:textId="77777777" w:rsidR="0053643A" w:rsidRDefault="0053643A" w:rsidP="007D22A0">
            <w:pPr>
              <w:pStyle w:val="BodyText"/>
              <w:spacing w:after="0" w:line="240" w:lineRule="auto"/>
              <w:rPr>
                <w:rFonts w:ascii="Times New Roman" w:hAnsi="Times New Roman"/>
                <w:szCs w:val="20"/>
                <w:lang w:eastAsia="zh-CN"/>
              </w:rPr>
            </w:pPr>
          </w:p>
        </w:tc>
      </w:tr>
      <w:tr w:rsidR="00B570C9" w14:paraId="1DADE4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B1D1CE" w14:textId="45AED11D" w:rsidR="00B570C9" w:rsidRDefault="00B570C9"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69E869BC" w14:textId="77777777" w:rsidR="00B570C9" w:rsidRDefault="00B570C9" w:rsidP="005364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w:t>
            </w:r>
            <w:proofErr w:type="spellStart"/>
            <w:r>
              <w:rPr>
                <w:rFonts w:ascii="Times New Roman" w:hAnsi="Times New Roman"/>
                <w:szCs w:val="20"/>
                <w:lang w:eastAsia="zh-CN"/>
              </w:rPr>
              <w:t>MediaTek</w:t>
            </w:r>
            <w:proofErr w:type="spellEnd"/>
            <w:r>
              <w:rPr>
                <w:rFonts w:ascii="Times New Roman" w:hAnsi="Times New Roman"/>
                <w:szCs w:val="20"/>
                <w:lang w:eastAsia="zh-CN"/>
              </w:rPr>
              <w:t>:</w:t>
            </w:r>
          </w:p>
          <w:p w14:paraId="43C2581C" w14:textId="054E4173" w:rsidR="00B570C9" w:rsidRDefault="00B570C9" w:rsidP="00BC513B">
            <w:pPr>
              <w:pStyle w:val="BodyText"/>
              <w:spacing w:after="0" w:line="240" w:lineRule="auto"/>
              <w:rPr>
                <w:rFonts w:ascii="Times New Roman" w:hAnsi="Times New Roman"/>
                <w:szCs w:val="20"/>
                <w:lang w:eastAsia="zh-CN"/>
              </w:rPr>
            </w:pPr>
            <w:r>
              <w:rPr>
                <w:rFonts w:ascii="Times New Roman" w:hAnsi="Times New Roman"/>
                <w:szCs w:val="20"/>
                <w:lang w:eastAsia="zh-CN"/>
              </w:rPr>
              <w:t>As you mentioned, Rel-15 defined two UE capabilities for 15kHz, 30kHz, and 60kHz</w:t>
            </w:r>
            <w:r w:rsidR="00BC513B">
              <w:rPr>
                <w:rFonts w:ascii="Times New Roman" w:hAnsi="Times New Roman"/>
                <w:szCs w:val="20"/>
                <w:lang w:eastAsia="zh-CN"/>
              </w:rPr>
              <w:t xml:space="preserve"> to cover </w:t>
            </w:r>
            <w:proofErr w:type="spellStart"/>
            <w:r w:rsidR="00BC513B">
              <w:rPr>
                <w:rFonts w:ascii="Times New Roman" w:hAnsi="Times New Roman"/>
                <w:szCs w:val="20"/>
                <w:lang w:eastAsia="zh-CN"/>
              </w:rPr>
              <w:t>eMBB</w:t>
            </w:r>
            <w:proofErr w:type="spellEnd"/>
            <w:r w:rsidR="00BC513B">
              <w:rPr>
                <w:rFonts w:ascii="Times New Roman" w:hAnsi="Times New Roman"/>
                <w:szCs w:val="20"/>
                <w:lang w:eastAsia="zh-CN"/>
              </w:rPr>
              <w:t xml:space="preserve"> and URLLC</w:t>
            </w:r>
            <w:r>
              <w:rPr>
                <w:rFonts w:ascii="Times New Roman" w:hAnsi="Times New Roman"/>
                <w:szCs w:val="20"/>
                <w:lang w:eastAsia="zh-CN"/>
              </w:rPr>
              <w:t xml:space="preserve">. </w:t>
            </w:r>
            <w:r w:rsidR="00BC513B">
              <w:rPr>
                <w:rFonts w:ascii="Times New Roman" w:hAnsi="Times New Roman"/>
                <w:szCs w:val="20"/>
                <w:lang w:eastAsia="zh-CN"/>
              </w:rPr>
              <w:t>Note that</w:t>
            </w:r>
            <w:r>
              <w:rPr>
                <w:rFonts w:ascii="Times New Roman" w:hAnsi="Times New Roman"/>
                <w:szCs w:val="20"/>
                <w:lang w:eastAsia="zh-CN"/>
              </w:rPr>
              <w:t xml:space="preserve"> UE capability 2 is not applicable to 120 kHz, which</w:t>
            </w:r>
            <w:r w:rsidR="00BC513B">
              <w:rPr>
                <w:rFonts w:ascii="Times New Roman" w:hAnsi="Times New Roman"/>
                <w:szCs w:val="20"/>
                <w:lang w:eastAsia="zh-CN"/>
              </w:rPr>
              <w:t xml:space="preserve"> is why we made the agreement on 2-1-1 to ensure we define UE processing capability for 480 and 960 kHz SCS following UE capability 1 framework.</w:t>
            </w:r>
            <w:r>
              <w:rPr>
                <w:rFonts w:ascii="Times New Roman" w:hAnsi="Times New Roman"/>
                <w:szCs w:val="20"/>
                <w:lang w:eastAsia="zh-CN"/>
              </w:rPr>
              <w:t xml:space="preserve"> </w:t>
            </w:r>
          </w:p>
          <w:p w14:paraId="59CABD50" w14:textId="7D930EAD" w:rsidR="004B2783" w:rsidRDefault="00215287"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don’t know if </w:t>
            </w:r>
            <w:r>
              <w:rPr>
                <w:rFonts w:ascii="Times New Roman" w:hAnsi="Times New Roman"/>
                <w:szCs w:val="20"/>
                <w:lang w:eastAsia="zh-CN"/>
              </w:rPr>
              <w:t>any company have concerns on introducing two capabilities where one considers larger values and the other one considers smaller values</w:t>
            </w:r>
            <w:r>
              <w:rPr>
                <w:rFonts w:ascii="Times New Roman" w:hAnsi="Times New Roman"/>
                <w:szCs w:val="20"/>
                <w:lang w:eastAsia="zh-CN"/>
              </w:rPr>
              <w:t xml:space="preserve">. </w:t>
            </w:r>
            <w:r w:rsidR="00BC513B">
              <w:rPr>
                <w:rFonts w:ascii="Times New Roman" w:hAnsi="Times New Roman"/>
                <w:szCs w:val="20"/>
                <w:lang w:eastAsia="zh-CN"/>
              </w:rPr>
              <w:t xml:space="preserve">Up to this meeting, I haven’t seen any company proposing </w:t>
            </w:r>
            <w:r>
              <w:rPr>
                <w:rFonts w:ascii="Times New Roman" w:hAnsi="Times New Roman"/>
                <w:szCs w:val="20"/>
                <w:lang w:eastAsia="zh-CN"/>
              </w:rPr>
              <w:t>two</w:t>
            </w:r>
            <w:r w:rsidR="00BC513B">
              <w:rPr>
                <w:rFonts w:ascii="Times New Roman" w:hAnsi="Times New Roman"/>
                <w:szCs w:val="20"/>
                <w:lang w:eastAsia="zh-CN"/>
              </w:rPr>
              <w:t xml:space="preserve"> set</w:t>
            </w:r>
            <w:r>
              <w:rPr>
                <w:rFonts w:ascii="Times New Roman" w:hAnsi="Times New Roman"/>
                <w:szCs w:val="20"/>
                <w:lang w:eastAsia="zh-CN"/>
              </w:rPr>
              <w:t>s</w:t>
            </w:r>
            <w:r w:rsidR="00BC513B">
              <w:rPr>
                <w:rFonts w:ascii="Times New Roman" w:hAnsi="Times New Roman"/>
                <w:szCs w:val="20"/>
                <w:lang w:eastAsia="zh-CN"/>
              </w:rPr>
              <w:t xml:space="preserve"> of timeline values</w:t>
            </w:r>
            <w:r w:rsidR="004B2783">
              <w:rPr>
                <w:rFonts w:ascii="Times New Roman" w:hAnsi="Times New Roman"/>
                <w:szCs w:val="20"/>
                <w:lang w:eastAsia="zh-CN"/>
              </w:rPr>
              <w:t xml:space="preserve"> for consideration</w:t>
            </w:r>
            <w:r>
              <w:rPr>
                <w:rFonts w:ascii="Times New Roman" w:hAnsi="Times New Roman"/>
                <w:szCs w:val="20"/>
                <w:lang w:eastAsia="zh-CN"/>
              </w:rPr>
              <w:t xml:space="preserve"> as two UE </w:t>
            </w:r>
            <w:bookmarkStart w:id="27" w:name="_GoBack"/>
            <w:bookmarkEnd w:id="27"/>
            <w:r>
              <w:rPr>
                <w:rFonts w:ascii="Times New Roman" w:hAnsi="Times New Roman"/>
                <w:szCs w:val="20"/>
                <w:lang w:eastAsia="zh-CN"/>
              </w:rPr>
              <w:t>capabilities</w:t>
            </w:r>
            <w:r w:rsidR="00BC513B">
              <w:rPr>
                <w:rFonts w:ascii="Times New Roman" w:hAnsi="Times New Roman"/>
                <w:szCs w:val="20"/>
                <w:lang w:eastAsia="zh-CN"/>
              </w:rPr>
              <w:t>. Without the 2</w:t>
            </w:r>
            <w:r w:rsidR="00BC513B" w:rsidRPr="00BC513B">
              <w:rPr>
                <w:rFonts w:ascii="Times New Roman" w:hAnsi="Times New Roman"/>
                <w:szCs w:val="20"/>
                <w:vertAlign w:val="superscript"/>
                <w:lang w:eastAsia="zh-CN"/>
              </w:rPr>
              <w:t>nd</w:t>
            </w:r>
            <w:r w:rsidR="00BC513B">
              <w:rPr>
                <w:rFonts w:ascii="Times New Roman" w:hAnsi="Times New Roman"/>
                <w:szCs w:val="20"/>
                <w:lang w:eastAsia="zh-CN"/>
              </w:rPr>
              <w:t xml:space="preserve"> set of values on the table, </w:t>
            </w:r>
            <w:r w:rsidR="004B2783">
              <w:rPr>
                <w:rFonts w:ascii="Times New Roman" w:hAnsi="Times New Roman"/>
                <w:szCs w:val="20"/>
                <w:lang w:eastAsia="zh-CN"/>
              </w:rPr>
              <w:t xml:space="preserve">I don’t know what to formulate on </w:t>
            </w:r>
            <w:r w:rsidR="00BC513B">
              <w:rPr>
                <w:rFonts w:ascii="Times New Roman" w:hAnsi="Times New Roman"/>
                <w:szCs w:val="20"/>
                <w:lang w:eastAsia="zh-CN"/>
              </w:rPr>
              <w:t>support</w:t>
            </w:r>
            <w:r w:rsidR="004B2783">
              <w:rPr>
                <w:rFonts w:ascii="Times New Roman" w:hAnsi="Times New Roman"/>
                <w:szCs w:val="20"/>
                <w:lang w:eastAsia="zh-CN"/>
              </w:rPr>
              <w:t>ing</w:t>
            </w:r>
            <w:r w:rsidR="00BC513B">
              <w:rPr>
                <w:rFonts w:ascii="Times New Roman" w:hAnsi="Times New Roman"/>
                <w:szCs w:val="20"/>
                <w:lang w:eastAsia="zh-CN"/>
              </w:rPr>
              <w:t xml:space="preserve"> two separated </w:t>
            </w:r>
            <w:r w:rsidR="004B2783">
              <w:rPr>
                <w:rFonts w:ascii="Times New Roman" w:hAnsi="Times New Roman"/>
                <w:szCs w:val="20"/>
                <w:lang w:eastAsia="zh-CN"/>
              </w:rPr>
              <w:t>timelines.</w:t>
            </w:r>
          </w:p>
          <w:p w14:paraId="37BE4168" w14:textId="77777777" w:rsidR="004B2783" w:rsidRDefault="004B2783" w:rsidP="004B2783">
            <w:pPr>
              <w:pStyle w:val="BodyText"/>
              <w:spacing w:after="0" w:line="240" w:lineRule="auto"/>
              <w:rPr>
                <w:rFonts w:ascii="Times New Roman" w:hAnsi="Times New Roman"/>
                <w:szCs w:val="20"/>
                <w:lang w:eastAsia="zh-CN"/>
              </w:rPr>
            </w:pPr>
          </w:p>
          <w:p w14:paraId="3DCA871B" w14:textId="3399B2BA" w:rsidR="004B2783" w:rsidRDefault="004B2783" w:rsidP="004B27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lastRenderedPageBreak/>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lastRenderedPageBreak/>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D22A0" w14:paraId="01F30682" w14:textId="77777777" w:rsidTr="00B54655">
        <w:trPr>
          <w:trHeight w:val="339"/>
        </w:trPr>
        <w:tc>
          <w:tcPr>
            <w:tcW w:w="1871" w:type="dxa"/>
          </w:tcPr>
          <w:p w14:paraId="3C0CF14A" w14:textId="2A5DBCFF"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579172EE" w14:textId="69283C1B" w:rsidR="007D22A0" w:rsidRDefault="007D22A0" w:rsidP="007D22A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B54655" w14:paraId="58D85399" w14:textId="77777777" w:rsidTr="00B54655">
        <w:trPr>
          <w:trHeight w:val="339"/>
        </w:trPr>
        <w:tc>
          <w:tcPr>
            <w:tcW w:w="1871" w:type="dxa"/>
          </w:tcPr>
          <w:p w14:paraId="634D47DF" w14:textId="6BD9BCB5" w:rsidR="00B54655" w:rsidRDefault="00B54655" w:rsidP="00B54655">
            <w:pPr>
              <w:pStyle w:val="BodyText"/>
              <w:spacing w:before="0" w:after="0" w:line="240" w:lineRule="auto"/>
              <w:rPr>
                <w:rFonts w:ascii="Times New Roman" w:hAnsi="Times New Roman"/>
                <w:szCs w:val="20"/>
                <w:lang w:eastAsia="zh-CN"/>
              </w:rPr>
            </w:pPr>
          </w:p>
        </w:tc>
        <w:tc>
          <w:tcPr>
            <w:tcW w:w="8021" w:type="dxa"/>
          </w:tcPr>
          <w:p w14:paraId="26CB1B05" w14:textId="186167D9" w:rsidR="00B54655" w:rsidRDefault="00B54655" w:rsidP="00B54655">
            <w:pPr>
              <w:pStyle w:val="BodyText"/>
              <w:spacing w:before="0" w:after="0" w:line="240" w:lineRule="auto"/>
              <w:rPr>
                <w:rFonts w:ascii="Times New Roman" w:hAnsi="Times New Roman"/>
                <w:szCs w:val="20"/>
                <w:lang w:eastAsia="zh-CN"/>
              </w:rPr>
            </w:pPr>
          </w:p>
        </w:tc>
      </w:tr>
      <w:tr w:rsidR="00A15FB5" w14:paraId="16E0E35F" w14:textId="77777777" w:rsidTr="00B54655">
        <w:trPr>
          <w:trHeight w:val="339"/>
        </w:trPr>
        <w:tc>
          <w:tcPr>
            <w:tcW w:w="1871" w:type="dxa"/>
          </w:tcPr>
          <w:p w14:paraId="42F8BC7B" w14:textId="77777777" w:rsidR="00A15FB5" w:rsidRDefault="00A15FB5" w:rsidP="00B54655">
            <w:pPr>
              <w:pStyle w:val="BodyText"/>
              <w:spacing w:after="0" w:line="240" w:lineRule="auto"/>
              <w:rPr>
                <w:rFonts w:ascii="Times New Roman" w:hAnsi="Times New Roman"/>
                <w:szCs w:val="20"/>
                <w:lang w:eastAsia="zh-CN"/>
              </w:rPr>
            </w:pPr>
          </w:p>
        </w:tc>
        <w:tc>
          <w:tcPr>
            <w:tcW w:w="8021" w:type="dxa"/>
          </w:tcPr>
          <w:p w14:paraId="5B639891" w14:textId="77777777" w:rsidR="00A15FB5" w:rsidRDefault="00A15FB5" w:rsidP="00B54655">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lastRenderedPageBreak/>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25pt;height:14.25pt;mso-width-percent:0;mso-height-percent:0;mso-width-percent:0;mso-height-percent:0" o:ole="">
                  <v:imagedata r:id="rId37" o:title=""/>
                </v:shape>
                <o:OLEObject Type="Embed" ProgID="Equation.DSMT4" ShapeID="_x0000_i1044" DrawAspect="Content" ObjectID="_1690976215"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lastRenderedPageBreak/>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25547E60" w14:textId="77777777" w:rsidR="00E14403" w:rsidRDefault="00940723">
            <w:pPr>
              <w:spacing w:line="280" w:lineRule="atLeast"/>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Due to Rx timing shift, (at least part of) a PTRS group placed at the tail of the transmitter’s DFT-s-OFDM symbol, may wrap-around to the head of the symbol from the receiver’s perspective, thus spoiling the original intention of the </w:t>
            </w:r>
            <w:r>
              <w:rPr>
                <w:rFonts w:asciiTheme="minorHAnsi" w:hAnsiTheme="minorHAnsi" w:cstheme="minorHAnsi"/>
                <w:color w:val="000000" w:themeColor="text1"/>
                <w:lang w:eastAsia="zh-CN"/>
              </w:rPr>
              <w:lastRenderedPageBreak/>
              <w:t>design and unnecessarily increasing Rx complexity, as well as deteriorating PN compensation performance, especially for the high MCS.</w:t>
            </w:r>
            <w:bookmarkEnd w:id="33"/>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65161DE3" w14:textId="77777777" w:rsidR="00E14403" w:rsidRDefault="00940723">
            <w:pPr>
              <w:spacing w:line="280" w:lineRule="atLeast"/>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B570C9">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8"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0A93AF08" w14:textId="77777777" w:rsidR="00E14403" w:rsidRDefault="00940723">
            <w:pPr>
              <w:pStyle w:val="Caption"/>
              <w:spacing w:line="280" w:lineRule="atLeast"/>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5EAE8C90" w14:textId="77777777" w:rsidR="00E14403" w:rsidRDefault="00940723">
            <w:pPr>
              <w:pStyle w:val="Caption"/>
              <w:spacing w:line="280" w:lineRule="atLeast"/>
              <w:rPr>
                <w:rFonts w:asciiTheme="minorHAnsi" w:hAnsiTheme="minorHAnsi" w:cstheme="minorHAnsi"/>
                <w:b w:val="0"/>
                <w:lang w:eastAsia="zh-CN"/>
              </w:rPr>
            </w:pPr>
            <w:bookmarkStart w:id="40" w:name="_Ref6847517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6953552A" w14:textId="77777777" w:rsidR="00E14403" w:rsidRDefault="00940723">
            <w:pPr>
              <w:pStyle w:val="Caption"/>
              <w:spacing w:line="280" w:lineRule="atLeast"/>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CF718D4" w14:textId="77777777" w:rsidR="00E14403" w:rsidRDefault="00940723">
            <w:pPr>
              <w:pStyle w:val="Caption"/>
              <w:spacing w:line="280" w:lineRule="atLeast"/>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6E805E6B" w14:textId="77777777" w:rsidR="00E14403" w:rsidRDefault="00940723">
            <w:pPr>
              <w:pStyle w:val="Caption"/>
              <w:spacing w:line="280" w:lineRule="atLeast"/>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6EE534DA" w14:textId="77777777" w:rsidR="00E14403" w:rsidRDefault="00940723">
            <w:pPr>
              <w:pStyle w:val="Caption"/>
              <w:spacing w:line="280" w:lineRule="atLeast"/>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1" w:name="_Ref77088975"/>
            <w:r>
              <w:t>Figure 26</w:t>
            </w:r>
            <w:bookmarkEnd w:id="61"/>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B570C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B570C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B570C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B570C9">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D22A0"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03FE425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E0B5DA9" w14:textId="4C44ED6F" w:rsidR="007D22A0" w:rsidRDefault="007D22A0" w:rsidP="007D22A0">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are fine with the proposal</w:t>
            </w: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lastRenderedPageBreak/>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most cases of PDSCH with 120/480/960 kHz SCS, de-ICI does not necessarily work better than de-CPE method for cases when the number of RBs is small. It observed a performance gain of 1 dB for (K=1, L=1) over </w:t>
      </w:r>
      <w:r>
        <w:rPr>
          <w:rFonts w:ascii="Times New Roman" w:hAnsi="Times New Roman"/>
          <w:szCs w:val="20"/>
          <w:lang w:eastAsia="zh-CN"/>
        </w:rPr>
        <w:lastRenderedPageBreak/>
        <w:t>(K=2,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7D22A0" w14:paraId="47A59D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AA40E3" w14:textId="02228758"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F8836A8" w14:textId="4CF9AB76" w:rsidR="007D22A0" w:rsidRDefault="007D22A0"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w:t>
      </w:r>
      <w:r>
        <w:rPr>
          <w:rFonts w:ascii="Times New Roman" w:hAnsi="Times New Roman"/>
          <w:szCs w:val="20"/>
          <w:lang w:eastAsia="zh-CN"/>
        </w:rPr>
        <w:lastRenderedPageBreak/>
        <w:t xml:space="preserve">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7D22A0"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5E5A25BD"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0B6662FF" w14:textId="4366ACB6" w:rsidR="007D22A0" w:rsidRDefault="007D22A0" w:rsidP="007D22A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We agree with your note that some timing shift loss should be observed even without wrapping a PT-RS group around, but some data samples. We observe this effect as the required SNR for 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lastRenderedPageBreak/>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596E5C06" w14:textId="77777777" w:rsidR="00E14403" w:rsidRDefault="00940723">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34387FD" w14:textId="77777777" w:rsidR="00E14403" w:rsidRDefault="00940723">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6D21132E" w14:textId="77777777" w:rsidR="00E14403" w:rsidRDefault="00940723">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28E9BB22" w14:textId="77777777" w:rsidR="00E14403" w:rsidRDefault="00940723">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 Ericsson, DOCOMO, ZTE (2nd perference), vivo (2nd perference), Samsung (2nd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 (2nd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B570C9">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B570C9">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B570C9">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B570C9">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B570C9">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B570C9">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B570C9">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B570C9">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B570C9">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B570C9">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B570C9">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B570C9">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B570C9">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B570C9">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B570C9">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B570C9">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B570C9">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B570C9">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B570C9">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B570C9">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B570C9">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B570C9">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B570C9">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B570C9">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B570C9">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B570C9">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B570C9">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B570C9">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D757" w14:textId="77777777" w:rsidR="00B226C2" w:rsidRDefault="00B226C2">
      <w:pPr>
        <w:spacing w:after="0" w:line="240" w:lineRule="auto"/>
      </w:pPr>
      <w:r>
        <w:separator/>
      </w:r>
    </w:p>
  </w:endnote>
  <w:endnote w:type="continuationSeparator" w:id="0">
    <w:p w14:paraId="03997CED" w14:textId="77777777" w:rsidR="00B226C2" w:rsidRDefault="00B2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02AA" w14:textId="77777777" w:rsidR="00B570C9" w:rsidRDefault="00B57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B570C9" w:rsidRDefault="00B570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851" w14:textId="4114967A" w:rsidR="00B570C9" w:rsidRDefault="00B570C9">
    <w:pPr>
      <w:pStyle w:val="Footer"/>
      <w:ind w:right="360"/>
    </w:pPr>
    <w:r>
      <w:rPr>
        <w:rStyle w:val="PageNumber"/>
      </w:rPr>
      <w:fldChar w:fldCharType="begin"/>
    </w:r>
    <w:r>
      <w:rPr>
        <w:rStyle w:val="PageNumber"/>
      </w:rPr>
      <w:instrText xml:space="preserve"> PAGE </w:instrText>
    </w:r>
    <w:r>
      <w:rPr>
        <w:rStyle w:val="PageNumber"/>
      </w:rPr>
      <w:fldChar w:fldCharType="separate"/>
    </w:r>
    <w:r w:rsidR="00215287">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15287">
      <w:rPr>
        <w:rStyle w:val="PageNumber"/>
        <w:noProof/>
      </w:rPr>
      <w:t>84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DE39" w14:textId="77777777" w:rsidR="00B570C9" w:rsidRDefault="00B57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0D8D" w14:textId="77777777" w:rsidR="00B226C2" w:rsidRDefault="00B226C2">
      <w:pPr>
        <w:spacing w:after="0" w:line="240" w:lineRule="auto"/>
      </w:pPr>
      <w:r>
        <w:separator/>
      </w:r>
    </w:p>
  </w:footnote>
  <w:footnote w:type="continuationSeparator" w:id="0">
    <w:p w14:paraId="33749F91" w14:textId="77777777" w:rsidR="00B226C2" w:rsidRDefault="00B2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986" w14:textId="77777777" w:rsidR="00B570C9" w:rsidRDefault="00B570C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AEE6" w14:textId="77777777" w:rsidR="00B570C9" w:rsidRDefault="00B570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6B64" w14:textId="77777777" w:rsidR="00B570C9" w:rsidRDefault="00B570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718BF"/>
    <w:multiLevelType w:val="multilevel"/>
    <w:tmpl w:val="1FD22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6"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33"/>
  </w:num>
  <w:num w:numId="7">
    <w:abstractNumId w:val="19"/>
  </w:num>
  <w:num w:numId="8">
    <w:abstractNumId w:val="27"/>
  </w:num>
  <w:num w:numId="9">
    <w:abstractNumId w:val="32"/>
  </w:num>
  <w:num w:numId="10">
    <w:abstractNumId w:val="20"/>
  </w:num>
  <w:num w:numId="11">
    <w:abstractNumId w:val="43"/>
  </w:num>
  <w:num w:numId="12">
    <w:abstractNumId w:val="38"/>
  </w:num>
  <w:num w:numId="13">
    <w:abstractNumId w:val="41"/>
  </w:num>
  <w:num w:numId="14">
    <w:abstractNumId w:val="16"/>
  </w:num>
  <w:num w:numId="15">
    <w:abstractNumId w:val="9"/>
  </w:num>
  <w:num w:numId="16">
    <w:abstractNumId w:val="45"/>
  </w:num>
  <w:num w:numId="17">
    <w:abstractNumId w:val="15"/>
  </w:num>
  <w:num w:numId="18">
    <w:abstractNumId w:val="36"/>
  </w:num>
  <w:num w:numId="19">
    <w:abstractNumId w:val="23"/>
  </w:num>
  <w:num w:numId="20">
    <w:abstractNumId w:val="28"/>
  </w:num>
  <w:num w:numId="21">
    <w:abstractNumId w:val="40"/>
  </w:num>
  <w:num w:numId="22">
    <w:abstractNumId w:val="47"/>
  </w:num>
  <w:num w:numId="23">
    <w:abstractNumId w:val="31"/>
  </w:num>
  <w:num w:numId="24">
    <w:abstractNumId w:val="48"/>
  </w:num>
  <w:num w:numId="25">
    <w:abstractNumId w:val="34"/>
  </w:num>
  <w:num w:numId="26">
    <w:abstractNumId w:val="44"/>
  </w:num>
  <w:num w:numId="27">
    <w:abstractNumId w:val="14"/>
  </w:num>
  <w:num w:numId="28">
    <w:abstractNumId w:val="11"/>
  </w:num>
  <w:num w:numId="29">
    <w:abstractNumId w:val="5"/>
  </w:num>
  <w:num w:numId="30">
    <w:abstractNumId w:val="22"/>
  </w:num>
  <w:num w:numId="31">
    <w:abstractNumId w:val="13"/>
  </w:num>
  <w:num w:numId="32">
    <w:abstractNumId w:val="6"/>
  </w:num>
  <w:num w:numId="33">
    <w:abstractNumId w:val="42"/>
  </w:num>
  <w:num w:numId="34">
    <w:abstractNumId w:val="0"/>
  </w:num>
  <w:num w:numId="35">
    <w:abstractNumId w:val="29"/>
  </w:num>
  <w:num w:numId="36">
    <w:abstractNumId w:val="7"/>
  </w:num>
  <w:num w:numId="37">
    <w:abstractNumId w:val="3"/>
  </w:num>
  <w:num w:numId="38">
    <w:abstractNumId w:val="49"/>
  </w:num>
  <w:num w:numId="39">
    <w:abstractNumId w:val="37"/>
  </w:num>
  <w:num w:numId="40">
    <w:abstractNumId w:val="25"/>
  </w:num>
  <w:num w:numId="41">
    <w:abstractNumId w:val="39"/>
  </w:num>
  <w:num w:numId="42">
    <w:abstractNumId w:val="26"/>
  </w:num>
  <w:num w:numId="43">
    <w:abstractNumId w:val="2"/>
  </w:num>
  <w:num w:numId="44">
    <w:abstractNumId w:val="24"/>
  </w:num>
  <w:num w:numId="45">
    <w:abstractNumId w:val="46"/>
  </w:num>
  <w:num w:numId="46">
    <w:abstractNumId w:val="17"/>
  </w:num>
  <w:num w:numId="47">
    <w:abstractNumId w:val="12"/>
  </w:num>
  <w:num w:numId="48">
    <w:abstractNumId w:val="10"/>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image" Target="media/image6.wmf"/><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cid:image001.jpg@01D793A0.CF28B180" TargetMode="External"/><Relationship Id="rId45" Type="http://schemas.openxmlformats.org/officeDocument/2006/relationships/image" Target="media/image10.jpeg"/><Relationship Id="rId66" Type="http://schemas.openxmlformats.org/officeDocument/2006/relationships/hyperlink" Target="https://www.3gpp.org/ftp/tsg_ran/WG1_RL1/TSGR1_106-e/Docs/R1-21075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Dotum">
    <w:altName w:val="돋움"/>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8411C"/>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DC15C3AA-A19D-456C-90E7-A4F49E77E15B}">
  <ds:schemaRefs>
    <ds:schemaRef ds:uri="http://schemas.openxmlformats.org/officeDocument/2006/bibliography"/>
  </ds:schemaRefs>
</ds:datastoreItem>
</file>

<file path=customXml/itemProps6.xml><?xml version="1.0" encoding="utf-8"?>
<ds:datastoreItem xmlns:ds="http://schemas.openxmlformats.org/officeDocument/2006/customXml" ds:itemID="{35902193-DBD9-4E5F-9AE4-E573D6A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13</TotalTime>
  <Pages>84</Pages>
  <Words>32440</Words>
  <Characters>184914</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3</cp:revision>
  <cp:lastPrinted>2011-11-09T07:49:00Z</cp:lastPrinted>
  <dcterms:created xsi:type="dcterms:W3CDTF">2021-08-20T21:37:00Z</dcterms:created>
  <dcterms:modified xsi:type="dcterms:W3CDTF">2021-08-20T21:50:00Z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