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ZTE, Sanechips</w:t>
            </w:r>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uawei, HiSilicon</w:t>
            </w:r>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ZTE, Sanechips</w:t>
            </w:r>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recognize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1, and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r>
              <w:rPr>
                <w:rFonts w:eastAsia="MS Mincho"/>
                <w:lang w:eastAsia="ko-KR"/>
              </w:rPr>
              <w:lastRenderedPageBreak/>
              <w:t>Futurewei</w:t>
            </w:r>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 xml:space="preserve">Support the proposal. No strong preference on which variant (as long as it's not Delta </w:t>
            </w:r>
            <w:r w:rsidRPr="000447A2">
              <w:rPr>
                <w:rFonts w:ascii="Segoe UI Emoji" w:eastAsia="Segoe UI Emoji" w:hAnsi="Segoe UI Emoji" w:cs="Segoe UI Emoji"/>
                <w:sz w:val="20"/>
                <w:lang w:eastAsia="zh-CN"/>
              </w:rPr>
              <w:t>☹</w:t>
            </w:r>
            <w:r>
              <w:rPr>
                <w:sz w:val="20"/>
                <w:lang w:eastAsia="zh-CN"/>
              </w:rPr>
              <w:t>)</w:t>
            </w:r>
          </w:p>
        </w:tc>
      </w:tr>
      <w:tr w:rsidR="008C05FC" w:rsidRPr="000447A2" w14:paraId="6D16AC16" w14:textId="77777777" w:rsidTr="000447A2">
        <w:tc>
          <w:tcPr>
            <w:tcW w:w="2405" w:type="dxa"/>
          </w:tcPr>
          <w:p w14:paraId="02F340F3" w14:textId="21B209B0" w:rsidR="008C05FC" w:rsidRPr="00E630EE" w:rsidRDefault="008C05FC" w:rsidP="000447A2">
            <w:pPr>
              <w:rPr>
                <w:rFonts w:eastAsia="MS Mincho"/>
                <w:lang w:eastAsia="ko-KR"/>
              </w:rPr>
            </w:pPr>
            <w:r w:rsidRPr="00E630EE">
              <w:rPr>
                <w:rFonts w:eastAsia="MS Mincho"/>
                <w:lang w:eastAsia="ko-KR"/>
              </w:rPr>
              <w:t>Convida Wireless</w:t>
            </w:r>
          </w:p>
        </w:tc>
        <w:tc>
          <w:tcPr>
            <w:tcW w:w="12176" w:type="dxa"/>
          </w:tcPr>
          <w:p w14:paraId="490F5AAE" w14:textId="61F58FAE" w:rsidR="008C05FC" w:rsidRPr="00E630EE" w:rsidRDefault="008C05FC" w:rsidP="000447A2">
            <w:pPr>
              <w:rPr>
                <w:rFonts w:eastAsia="MS Mincho"/>
                <w:lang w:eastAsia="ko-KR"/>
              </w:rPr>
            </w:pPr>
            <w:r w:rsidRPr="00E630EE">
              <w:rPr>
                <w:rFonts w:eastAsia="MS Mincho"/>
                <w:lang w:eastAsia="ko-KR"/>
              </w:rPr>
              <w:t xml:space="preserve">We are fine with either variant. </w:t>
            </w:r>
          </w:p>
        </w:tc>
      </w:tr>
      <w:tr w:rsidR="00D33471" w:rsidRPr="000447A2" w14:paraId="3B93BC1E" w14:textId="77777777" w:rsidTr="000447A2">
        <w:tc>
          <w:tcPr>
            <w:tcW w:w="2405" w:type="dxa"/>
          </w:tcPr>
          <w:p w14:paraId="41B6F0A4" w14:textId="56A3BA59" w:rsidR="00D33471" w:rsidRPr="00E630EE" w:rsidRDefault="00D33471" w:rsidP="00D33471">
            <w:pPr>
              <w:rPr>
                <w:rFonts w:eastAsia="MS Mincho"/>
                <w:lang w:eastAsia="ko-KR"/>
              </w:rPr>
            </w:pPr>
            <w:r>
              <w:rPr>
                <w:rFonts w:eastAsia="MS Mincho"/>
                <w:lang w:eastAsia="ko-KR"/>
              </w:rPr>
              <w:t>Panasonic</w:t>
            </w:r>
          </w:p>
        </w:tc>
        <w:tc>
          <w:tcPr>
            <w:tcW w:w="12176" w:type="dxa"/>
          </w:tcPr>
          <w:p w14:paraId="223A8F2F" w14:textId="6230C4CB" w:rsidR="00D33471" w:rsidRPr="00E630EE" w:rsidRDefault="00D33471" w:rsidP="00D33471">
            <w:pPr>
              <w:rPr>
                <w:rFonts w:eastAsia="MS Mincho"/>
                <w:lang w:eastAsia="ko-KR"/>
              </w:rPr>
            </w:pPr>
            <w:r>
              <w:rPr>
                <w:lang w:eastAsia="zh-CN"/>
              </w:rPr>
              <w:t xml:space="preserve">We are fine with either variant. </w:t>
            </w:r>
          </w:p>
        </w:tc>
      </w:tr>
      <w:tr w:rsidR="00E47F35" w:rsidRPr="000447A2" w14:paraId="4CE7B7BB" w14:textId="77777777" w:rsidTr="00C33521">
        <w:tc>
          <w:tcPr>
            <w:tcW w:w="2405" w:type="dxa"/>
            <w:vAlign w:val="top"/>
          </w:tcPr>
          <w:p w14:paraId="32A34256" w14:textId="66C84697" w:rsidR="00E47F35" w:rsidRDefault="00E47F35" w:rsidP="00E47F35">
            <w:pPr>
              <w:rPr>
                <w:rFonts w:eastAsia="MS Mincho"/>
                <w:lang w:eastAsia="ko-KR"/>
              </w:rPr>
            </w:pPr>
            <w:r>
              <w:rPr>
                <w:rFonts w:eastAsia="MS Mincho"/>
                <w:lang w:eastAsia="ko-KR"/>
              </w:rPr>
              <w:t>CATT</w:t>
            </w:r>
          </w:p>
        </w:tc>
        <w:tc>
          <w:tcPr>
            <w:tcW w:w="12176" w:type="dxa"/>
            <w:vAlign w:val="top"/>
          </w:tcPr>
          <w:p w14:paraId="3C34B3EF" w14:textId="2C48EEC4" w:rsidR="00E47F35" w:rsidRDefault="00E47F35" w:rsidP="00E47F35">
            <w:pPr>
              <w:rPr>
                <w:lang w:eastAsia="zh-CN"/>
              </w:rPr>
            </w:pPr>
            <w:r>
              <w:t>We prefer Variant 2 as this is the wording that has been used most often</w:t>
            </w:r>
          </w:p>
        </w:tc>
      </w:tr>
      <w:tr w:rsidR="006F2484" w:rsidRPr="000447A2" w14:paraId="7BCE050D" w14:textId="77777777" w:rsidTr="00C33521">
        <w:tc>
          <w:tcPr>
            <w:tcW w:w="2405" w:type="dxa"/>
            <w:vAlign w:val="top"/>
          </w:tcPr>
          <w:p w14:paraId="2E8A7E53" w14:textId="5F7292ED" w:rsidR="006F2484" w:rsidRDefault="006F2484" w:rsidP="00E47F35">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121CF41F" w14:textId="19BCEE0A" w:rsidR="006F2484" w:rsidRPr="006F2484" w:rsidRDefault="006F2484" w:rsidP="00E47F35">
            <w:pPr>
              <w:rPr>
                <w:rFonts w:eastAsia="MS Mincho"/>
                <w:lang w:eastAsia="ja-JP"/>
              </w:rPr>
            </w:pPr>
            <w:r>
              <w:rPr>
                <w:rFonts w:eastAsia="MS Mincho"/>
                <w:lang w:eastAsia="ja-JP"/>
              </w:rPr>
              <w:t>We slightly prefer variant 2.</w:t>
            </w:r>
          </w:p>
        </w:tc>
      </w:tr>
      <w:tr w:rsidR="00A050EA" w:rsidRPr="000447A2" w14:paraId="6DC30ECB" w14:textId="77777777" w:rsidTr="00BB787A">
        <w:tc>
          <w:tcPr>
            <w:tcW w:w="2405" w:type="dxa"/>
            <w:vAlign w:val="top"/>
          </w:tcPr>
          <w:p w14:paraId="488779AB" w14:textId="09711460" w:rsidR="00A050EA" w:rsidRPr="00A050EA" w:rsidRDefault="00A050EA" w:rsidP="00A050EA">
            <w:pPr>
              <w:rPr>
                <w:rFonts w:eastAsia="MS Mincho"/>
                <w:lang w:val="en-SE" w:eastAsia="ko-KR"/>
              </w:rPr>
            </w:pPr>
            <w:r>
              <w:rPr>
                <w:rFonts w:eastAsia="MS Mincho"/>
                <w:lang w:val="en-SE" w:eastAsia="ko-KR"/>
              </w:rPr>
              <w:t>Sony</w:t>
            </w:r>
          </w:p>
        </w:tc>
        <w:tc>
          <w:tcPr>
            <w:tcW w:w="12176" w:type="dxa"/>
          </w:tcPr>
          <w:p w14:paraId="10537BDA" w14:textId="3FCC074D" w:rsidR="00A050EA" w:rsidRDefault="00A050EA" w:rsidP="00A050EA">
            <w:r>
              <w:rPr>
                <w:rFonts w:eastAsia="MS Mincho"/>
                <w:lang w:eastAsia="ja-JP"/>
              </w:rPr>
              <w:t>We slightly prefer Variant 2 since it is more clear, but can accept either one if it helps to converge the views.</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lastRenderedPageBreak/>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Mediatek</w:t>
      </w:r>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lastRenderedPageBreak/>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ZTE, Sanechips</w:t>
            </w:r>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w:t>
            </w:r>
            <w:r>
              <w:rPr>
                <w:lang w:eastAsia="zh-CN"/>
              </w:rPr>
              <w:lastRenderedPageBreak/>
              <w:t xml:space="preserve">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lastRenderedPageBreak/>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ja-JP"/>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ja-JP"/>
              </w:rPr>
              <w:lastRenderedPageBreak/>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uawei, HiSilicon</w:t>
            </w:r>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C83C5B" w14:paraId="02073C42" w14:textId="77777777">
        <w:tc>
          <w:tcPr>
            <w:tcW w:w="2405" w:type="dxa"/>
          </w:tcPr>
          <w:p w14:paraId="05C33BDF" w14:textId="79C98610" w:rsidR="00C83C5B" w:rsidRPr="00E630EE" w:rsidRDefault="00C83C5B">
            <w:pPr>
              <w:rPr>
                <w:rFonts w:eastAsia="MS Mincho"/>
                <w:lang w:eastAsia="ja-JP"/>
              </w:rPr>
            </w:pPr>
            <w:r w:rsidRPr="00E630EE">
              <w:rPr>
                <w:rFonts w:eastAsia="MS Mincho"/>
                <w:lang w:eastAsia="ja-JP"/>
              </w:rPr>
              <w:t>Convida Wireless</w:t>
            </w:r>
          </w:p>
        </w:tc>
        <w:tc>
          <w:tcPr>
            <w:tcW w:w="12176" w:type="dxa"/>
          </w:tcPr>
          <w:p w14:paraId="2DDC932F" w14:textId="471D5AEC" w:rsidR="00C83C5B" w:rsidRPr="00E630EE" w:rsidRDefault="00C83C5B">
            <w:pPr>
              <w:rPr>
                <w:rFonts w:eastAsia="MS Mincho"/>
                <w:lang w:eastAsia="ja-JP"/>
              </w:rPr>
            </w:pPr>
            <w:r w:rsidRPr="00E630EE">
              <w:rPr>
                <w:rFonts w:eastAsia="MS Mincho"/>
                <w:lang w:eastAsia="ja-JP"/>
              </w:rPr>
              <w:t>We prefer Alt-2 than Alt-1</w:t>
            </w:r>
            <w:r w:rsidR="00E630EE">
              <w:rPr>
                <w:rFonts w:eastAsia="MS Mincho"/>
                <w:lang w:eastAsia="ja-JP"/>
              </w:rPr>
              <w:t>.</w:t>
            </w:r>
            <w:r w:rsidRPr="00E630EE">
              <w:rPr>
                <w:rFonts w:eastAsia="MS Mincho"/>
                <w:lang w:eastAsia="ja-JP"/>
              </w:rPr>
              <w:t xml:space="preserve"> Alt-2</w:t>
            </w:r>
            <w:r w:rsidR="00726594" w:rsidRPr="00E630EE">
              <w:rPr>
                <w:rFonts w:eastAsia="MS Mincho"/>
                <w:lang w:eastAsia="ja-JP"/>
              </w:rPr>
              <w:t xml:space="preserve"> is more flexible in terms of configuration than Alt 1</w:t>
            </w:r>
            <w:r w:rsidRPr="00E630EE">
              <w:rPr>
                <w:rFonts w:eastAsia="MS Mincho"/>
                <w:lang w:eastAsia="ja-JP"/>
              </w:rPr>
              <w:t>.</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lastRenderedPageBreak/>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(i.e.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lastRenderedPageBreak/>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ZTE, Sanechips</w:t>
            </w:r>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uawei, HiSilicon</w:t>
            </w:r>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lastRenderedPageBreak/>
              <w:t>ZTE, Sanechips</w:t>
            </w:r>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to set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92197C">
            <w:pPr>
              <w:rPr>
                <w:lang w:eastAsia="zh-CN"/>
              </w:rPr>
            </w:pPr>
            <w:r>
              <w:rPr>
                <w:lang w:eastAsia="zh-CN"/>
              </w:rPr>
              <w:t>Similar to Intel and LG Electronics, we think that  =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r>
              <w:rPr>
                <w:rFonts w:eastAsia="MS Mincho"/>
                <w:lang w:eastAsia="ko-KR"/>
              </w:rPr>
              <w:t>Futurewei</w:t>
            </w:r>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r w:rsidR="005B5482" w14:paraId="25AF2B4E" w14:textId="77777777" w:rsidTr="00F62B40">
        <w:tc>
          <w:tcPr>
            <w:tcW w:w="2405" w:type="dxa"/>
          </w:tcPr>
          <w:p w14:paraId="5AD5A281" w14:textId="77777777" w:rsidR="005B5482" w:rsidRDefault="005B5482" w:rsidP="00F62B40">
            <w:pPr>
              <w:rPr>
                <w:rFonts w:eastAsia="MS Mincho"/>
                <w:lang w:eastAsia="ko-KR"/>
              </w:rPr>
            </w:pPr>
            <w:r>
              <w:rPr>
                <w:rFonts w:eastAsia="MS Mincho"/>
                <w:lang w:eastAsia="ko-KR"/>
              </w:rPr>
              <w:lastRenderedPageBreak/>
              <w:t>Panasonic</w:t>
            </w:r>
          </w:p>
        </w:tc>
        <w:tc>
          <w:tcPr>
            <w:tcW w:w="12176" w:type="dxa"/>
          </w:tcPr>
          <w:p w14:paraId="50C80D33" w14:textId="77777777" w:rsidR="005B5482" w:rsidRDefault="005B5482" w:rsidP="00F62B40">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E47F35" w14:paraId="72EDAF93" w14:textId="77777777" w:rsidTr="00AF7581">
        <w:tc>
          <w:tcPr>
            <w:tcW w:w="2405" w:type="dxa"/>
            <w:vAlign w:val="top"/>
          </w:tcPr>
          <w:p w14:paraId="53357865" w14:textId="1793561A" w:rsidR="00E47F35" w:rsidRDefault="00E47F35" w:rsidP="00E47F35">
            <w:pPr>
              <w:rPr>
                <w:rFonts w:eastAsia="MS Mincho"/>
                <w:lang w:eastAsia="ko-KR"/>
              </w:rPr>
            </w:pPr>
            <w:r>
              <w:rPr>
                <w:rFonts w:eastAsia="MS Mincho"/>
                <w:lang w:eastAsia="ko-KR"/>
              </w:rPr>
              <w:t>CATT</w:t>
            </w:r>
          </w:p>
        </w:tc>
        <w:tc>
          <w:tcPr>
            <w:tcW w:w="12176" w:type="dxa"/>
            <w:vAlign w:val="top"/>
          </w:tcPr>
          <w:p w14:paraId="455898E0" w14:textId="0A5ADB6C" w:rsidR="00E47F35" w:rsidRDefault="00E47F35" w:rsidP="00E47F35">
            <w:pPr>
              <w:rPr>
                <w:rFonts w:eastAsia="MS Mincho"/>
                <w:lang w:eastAsia="ja-JP"/>
              </w:rPr>
            </w:pPr>
            <w:r>
              <w:rPr>
                <w:rFonts w:eastAsia="MS Mincho"/>
                <w:lang w:eastAsia="ja-JP"/>
              </w:rPr>
              <w:t>We support the FL proposal.</w:t>
            </w:r>
          </w:p>
        </w:tc>
      </w:tr>
      <w:tr w:rsidR="006F2484" w14:paraId="07C586CE" w14:textId="77777777" w:rsidTr="00AF7581">
        <w:tc>
          <w:tcPr>
            <w:tcW w:w="2405" w:type="dxa"/>
            <w:vAlign w:val="top"/>
          </w:tcPr>
          <w:p w14:paraId="5AFA0B83" w14:textId="3DFBDBAA" w:rsidR="006F2484" w:rsidRDefault="006F2484" w:rsidP="00E47F35">
            <w:pPr>
              <w:rPr>
                <w:rFonts w:eastAsia="MS Mincho"/>
                <w:lang w:eastAsia="ja-JP"/>
              </w:rPr>
            </w:pPr>
            <w:r>
              <w:rPr>
                <w:rFonts w:eastAsia="MS Mincho" w:hint="eastAsia"/>
                <w:lang w:eastAsia="ja-JP"/>
              </w:rPr>
              <w:t>Sharp</w:t>
            </w:r>
          </w:p>
        </w:tc>
        <w:tc>
          <w:tcPr>
            <w:tcW w:w="12176" w:type="dxa"/>
            <w:vAlign w:val="top"/>
          </w:tcPr>
          <w:p w14:paraId="459888D1" w14:textId="729CE32A" w:rsidR="006F2484" w:rsidRDefault="006F2484" w:rsidP="00E47F35">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6F2484" w14:paraId="6DE67AA4" w14:textId="77777777" w:rsidTr="00AF7581">
        <w:tc>
          <w:tcPr>
            <w:tcW w:w="2405" w:type="dxa"/>
            <w:vAlign w:val="top"/>
          </w:tcPr>
          <w:p w14:paraId="18740B5A" w14:textId="78539210" w:rsidR="006F2484" w:rsidRPr="00A050EA" w:rsidRDefault="006F2484" w:rsidP="00E47F35">
            <w:pPr>
              <w:rPr>
                <w:rFonts w:eastAsia="MS Mincho"/>
                <w:lang w:val="en-SE" w:eastAsia="ko-KR"/>
              </w:rPr>
            </w:pPr>
          </w:p>
        </w:tc>
        <w:tc>
          <w:tcPr>
            <w:tcW w:w="12176" w:type="dxa"/>
            <w:vAlign w:val="top"/>
          </w:tcPr>
          <w:p w14:paraId="36E442E1" w14:textId="77777777" w:rsidR="006F2484" w:rsidRDefault="006F2484" w:rsidP="00E47F35">
            <w:pPr>
              <w:rPr>
                <w:rFonts w:eastAsia="MS Mincho"/>
                <w:lang w:eastAsia="ja-JP"/>
              </w:rPr>
            </w:pP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 xml:space="preserve">Agree the proposal. We prefer to continue the discussion after X is decided since the allowable range for Y value may vary depending </w:t>
            </w:r>
            <w:r>
              <w:rPr>
                <w:lang w:eastAsia="zh-CN"/>
              </w:rPr>
              <w:lastRenderedPageBreak/>
              <w:t>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lastRenderedPageBreak/>
              <w:t>ZTE, Sanechips</w:t>
            </w:r>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lastRenderedPageBreak/>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lastRenderedPageBreak/>
              <w:t>H</w:t>
            </w:r>
            <w:r>
              <w:t>uawei, HiSilicon</w:t>
            </w:r>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ZTE, Sanechips</w:t>
            </w:r>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lastRenderedPageBreak/>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t xml:space="preserve">For the second bullet, we suggest to change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w:t>
            </w:r>
            <w:r w:rsidRPr="00BA2101">
              <w:rPr>
                <w:lang w:eastAsia="zh-CN"/>
              </w:rPr>
              <w:lastRenderedPageBreak/>
              <w: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lastRenderedPageBreak/>
              <w:t>Apple</w:t>
            </w:r>
          </w:p>
        </w:tc>
        <w:tc>
          <w:tcPr>
            <w:tcW w:w="12176" w:type="dxa"/>
          </w:tcPr>
          <w:p w14:paraId="0FEE79FA" w14:textId="31C49BC9" w:rsidR="0002725E" w:rsidRDefault="0002725E" w:rsidP="0092197C">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t>Samsung</w:t>
            </w:r>
          </w:p>
        </w:tc>
        <w:tc>
          <w:tcPr>
            <w:tcW w:w="12176" w:type="dxa"/>
            <w:shd w:val="clear" w:color="auto" w:fill="auto"/>
          </w:tcPr>
          <w:p w14:paraId="5D19F756" w14:textId="3CDD72FB" w:rsidR="0092197C" w:rsidRPr="0092197C" w:rsidRDefault="0092197C" w:rsidP="0092197C">
            <w:pPr>
              <w:pStyle w:val="ListParagraph"/>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ListParagraph"/>
              <w:numPr>
                <w:ilvl w:val="0"/>
                <w:numId w:val="67"/>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ListParagraph"/>
              <w:numPr>
                <w:ilvl w:val="1"/>
                <w:numId w:val="67"/>
              </w:numPr>
              <w:rPr>
                <w:rFonts w:ascii="Times New Roman" w:hAnsi="Times New Roman"/>
                <w:lang w:eastAsia="zh-CN"/>
              </w:rPr>
            </w:pPr>
            <w:r w:rsidRPr="009350BD">
              <w:rPr>
                <w:rFonts w:ascii="Times New Roman" w:hAnsi="Times New Roman"/>
                <w:lang w:eastAsia="zh-CN"/>
              </w:rPr>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r>
              <w:rPr>
                <w:rFonts w:eastAsia="MS Mincho"/>
                <w:lang w:eastAsia="ko-KR"/>
              </w:rPr>
              <w:lastRenderedPageBreak/>
              <w:t>Futurewei</w:t>
            </w:r>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r w:rsidR="005E0905" w14:paraId="549EF4EE" w14:textId="77777777" w:rsidTr="00F62B40">
        <w:tc>
          <w:tcPr>
            <w:tcW w:w="2405" w:type="dxa"/>
          </w:tcPr>
          <w:p w14:paraId="71C03203" w14:textId="77777777" w:rsidR="005E0905" w:rsidRDefault="005E0905" w:rsidP="00F62B40">
            <w:pPr>
              <w:rPr>
                <w:rFonts w:eastAsia="MS Mincho"/>
                <w:lang w:eastAsia="ko-KR"/>
              </w:rPr>
            </w:pPr>
            <w:r>
              <w:rPr>
                <w:rFonts w:eastAsia="MS Mincho"/>
                <w:lang w:eastAsia="ko-KR"/>
              </w:rPr>
              <w:t>Panasonic</w:t>
            </w:r>
          </w:p>
        </w:tc>
        <w:tc>
          <w:tcPr>
            <w:tcW w:w="12176" w:type="dxa"/>
          </w:tcPr>
          <w:p w14:paraId="754B9007" w14:textId="77777777" w:rsidR="005E0905" w:rsidRDefault="005E0905" w:rsidP="00F62B40">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6EE14EF5" w14:textId="77777777" w:rsidR="005E0905" w:rsidRDefault="005E0905" w:rsidP="00F62B40">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E47F35" w14:paraId="135E29CF" w14:textId="77777777" w:rsidTr="00422963">
        <w:tc>
          <w:tcPr>
            <w:tcW w:w="2405" w:type="dxa"/>
            <w:vAlign w:val="top"/>
          </w:tcPr>
          <w:p w14:paraId="03A9940C" w14:textId="753935D6" w:rsidR="00E47F35" w:rsidRDefault="00E47F35" w:rsidP="00E47F35">
            <w:pPr>
              <w:rPr>
                <w:rFonts w:eastAsia="MS Mincho"/>
                <w:lang w:eastAsia="ko-KR"/>
              </w:rPr>
            </w:pPr>
            <w:r>
              <w:rPr>
                <w:rFonts w:eastAsia="MS Mincho"/>
                <w:sz w:val="20"/>
                <w:lang w:eastAsia="ko-KR"/>
              </w:rPr>
              <w:t>CATT</w:t>
            </w:r>
          </w:p>
        </w:tc>
        <w:tc>
          <w:tcPr>
            <w:tcW w:w="12176" w:type="dxa"/>
            <w:vAlign w:val="top"/>
          </w:tcPr>
          <w:p w14:paraId="1BA13AEC" w14:textId="2ED345FC" w:rsidR="00E47F35" w:rsidRDefault="00E47F35" w:rsidP="00E47F35">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r w:rsidR="006F2484" w14:paraId="307C0FA7" w14:textId="77777777" w:rsidTr="00422963">
        <w:tc>
          <w:tcPr>
            <w:tcW w:w="2405" w:type="dxa"/>
            <w:vAlign w:val="top"/>
          </w:tcPr>
          <w:p w14:paraId="76C87C2E" w14:textId="22791CEA" w:rsidR="006F2484" w:rsidRPr="006F2484" w:rsidRDefault="006F2484" w:rsidP="00E47F35">
            <w:pPr>
              <w:rPr>
                <w:rFonts w:eastAsia="MS Mincho"/>
                <w:lang w:eastAsia="ja-JP"/>
              </w:rPr>
            </w:pPr>
            <w:r w:rsidRPr="006F2484">
              <w:rPr>
                <w:rFonts w:eastAsia="MS Mincho" w:hint="eastAsia"/>
                <w:lang w:eastAsia="ja-JP"/>
              </w:rPr>
              <w:t>Sharp</w:t>
            </w:r>
          </w:p>
        </w:tc>
        <w:tc>
          <w:tcPr>
            <w:tcW w:w="12176" w:type="dxa"/>
            <w:vAlign w:val="top"/>
          </w:tcPr>
          <w:p w14:paraId="0450F2B7" w14:textId="4C95E695" w:rsidR="006F2484" w:rsidRPr="006F2484" w:rsidRDefault="006F2484" w:rsidP="00E47F35">
            <w:pPr>
              <w:rPr>
                <w:rFonts w:eastAsia="MS Mincho"/>
                <w:lang w:eastAsia="ja-JP"/>
              </w:rPr>
            </w:pPr>
            <w:r w:rsidRPr="006F2484">
              <w:rPr>
                <w:rFonts w:eastAsia="MS Mincho"/>
                <w:lang w:eastAsia="ja-JP"/>
              </w:rPr>
              <w:t>W</w:t>
            </w:r>
            <w:r w:rsidRPr="006F2484">
              <w:rPr>
                <w:rFonts w:eastAsia="MS Mincho" w:hint="eastAsia"/>
                <w:lang w:eastAsia="ja-JP"/>
              </w:rPr>
              <w:t xml:space="preserve">e </w:t>
            </w:r>
            <w:r>
              <w:rPr>
                <w:rFonts w:eastAsia="MS Mincho"/>
                <w:lang w:eastAsia="ja-JP"/>
              </w:rPr>
              <w:t>sup</w:t>
            </w:r>
            <w:r w:rsidRPr="006F2484">
              <w:rPr>
                <w:rFonts w:eastAsia="MS Mincho"/>
                <w:lang w:eastAsia="ja-JP"/>
              </w:rPr>
              <w:t xml:space="preserve">port </w:t>
            </w:r>
            <w:r>
              <w:rPr>
                <w:rFonts w:eastAsia="MS Mincho"/>
                <w:lang w:eastAsia="ja-JP"/>
              </w:rPr>
              <w:t>the FL proposal.</w:t>
            </w:r>
          </w:p>
        </w:tc>
      </w:tr>
      <w:tr w:rsidR="006F2484" w14:paraId="4F62F5B6" w14:textId="77777777" w:rsidTr="00422963">
        <w:tc>
          <w:tcPr>
            <w:tcW w:w="2405" w:type="dxa"/>
            <w:vAlign w:val="top"/>
          </w:tcPr>
          <w:p w14:paraId="5BF7A4CB" w14:textId="3FBBC806" w:rsidR="006F2484" w:rsidRPr="00A050EA" w:rsidRDefault="00A050EA" w:rsidP="00E47F35">
            <w:pPr>
              <w:rPr>
                <w:rFonts w:eastAsia="MS Mincho"/>
                <w:lang w:val="en-SE" w:eastAsia="ko-KR"/>
              </w:rPr>
            </w:pPr>
            <w:r>
              <w:rPr>
                <w:rFonts w:eastAsia="MS Mincho"/>
                <w:lang w:val="en-SE" w:eastAsia="ko-KR"/>
              </w:rPr>
              <w:t>Sony</w:t>
            </w:r>
          </w:p>
        </w:tc>
        <w:tc>
          <w:tcPr>
            <w:tcW w:w="12176" w:type="dxa"/>
            <w:vAlign w:val="top"/>
          </w:tcPr>
          <w:p w14:paraId="4679F2C3" w14:textId="67263964" w:rsidR="006F2484" w:rsidRPr="00A050EA" w:rsidRDefault="00A050EA" w:rsidP="00E47F35">
            <w:pPr>
              <w:rPr>
                <w:rFonts w:eastAsia="MS Mincho"/>
                <w:lang w:val="en-SE" w:eastAsia="ja-JP"/>
              </w:rPr>
            </w:pPr>
            <w:r>
              <w:rPr>
                <w:rFonts w:eastAsia="MS Mincho"/>
                <w:lang w:eastAsia="ja-JP"/>
              </w:rPr>
              <w:t xml:space="preserve">We </w:t>
            </w:r>
            <w:r>
              <w:rPr>
                <w:rFonts w:eastAsia="MS Mincho"/>
                <w:lang w:val="en-SE" w:eastAsia="ja-JP"/>
              </w:rPr>
              <w:t>support</w:t>
            </w:r>
            <w:r>
              <w:rPr>
                <w:rFonts w:eastAsia="MS Mincho"/>
                <w:lang w:eastAsia="ja-JP"/>
              </w:rPr>
              <w:t xml:space="preserve"> </w:t>
            </w:r>
            <w:r>
              <w:rPr>
                <w:rFonts w:eastAsia="MS Mincho"/>
                <w:lang w:val="en-SE" w:eastAsia="ja-JP"/>
              </w:rPr>
              <w:t>the proposed two</w:t>
            </w:r>
            <w:r>
              <w:rPr>
                <w:rFonts w:eastAsia="MS Mincho"/>
                <w:lang w:eastAsia="ja-JP"/>
              </w:rPr>
              <w:t xml:space="preserve"> extra constrain</w:t>
            </w:r>
            <w:r>
              <w:rPr>
                <w:rFonts w:eastAsia="MS Mincho"/>
                <w:lang w:val="en-SE" w:eastAsia="ja-JP"/>
              </w:rPr>
              <w:t>s with</w:t>
            </w:r>
            <w:r>
              <w:rPr>
                <w:rFonts w:eastAsia="MS Mincho"/>
                <w:lang w:eastAsia="ja-JP"/>
              </w:rPr>
              <w:t xml:space="preserve"> </w:t>
            </w:r>
            <w:r>
              <w:rPr>
                <w:rFonts w:eastAsia="MS Mincho"/>
                <w:lang w:val="en-SE" w:eastAsia="ja-JP"/>
              </w:rPr>
              <w:t>support</w:t>
            </w:r>
            <w:r>
              <w:rPr>
                <w:rFonts w:eastAsia="MS Mincho"/>
                <w:lang w:eastAsia="ja-JP"/>
              </w:rPr>
              <w:t xml:space="preserve"> Alt 1</w:t>
            </w:r>
            <w:r>
              <w:rPr>
                <w:rFonts w:eastAsia="MS Mincho"/>
                <w:lang w:val="en-SE" w:eastAsia="ja-JP"/>
              </w:rPr>
              <w:t xml:space="preserve">.  On the other hand, we think the same constrains can also be applied if Alt.2 would be selected in the end. </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lastRenderedPageBreak/>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lastRenderedPageBreak/>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lastRenderedPageBreak/>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ZTE, Sanechips</w:t>
            </w:r>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lastRenderedPageBreak/>
              <w:t>H</w:t>
            </w:r>
            <w:r>
              <w:t>uawei, HiSilicon</w:t>
            </w:r>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lastRenderedPageBreak/>
              <w:t>ZTE, Sanechips</w:t>
            </w:r>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However, we can continue with this discussion under Topic A2, once we downselect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t>LG Electronics</w:t>
            </w:r>
          </w:p>
        </w:tc>
        <w:tc>
          <w:tcPr>
            <w:tcW w:w="12176" w:type="dxa"/>
          </w:tcPr>
          <w:p w14:paraId="2FD13A75" w14:textId="77777777" w:rsidR="001E1663" w:rsidRDefault="001E1663" w:rsidP="0092197C">
            <w:pPr>
              <w:rPr>
                <w:lang w:eastAsia="zh-CN"/>
              </w:rPr>
            </w:pPr>
            <w:r>
              <w:rPr>
                <w:lang w:eastAsia="zh-CN"/>
              </w:rPr>
              <w:t>Basically, we have the same view with Docomo, Intel and Qualcomm. But,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We have the same view as the majority i.e.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r>
              <w:rPr>
                <w:rFonts w:eastAsia="MS Mincho"/>
                <w:lang w:eastAsia="ko-KR"/>
              </w:rPr>
              <w:t>Futurewei</w:t>
            </w:r>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r w:rsidR="00D7202F" w14:paraId="25A161F5" w14:textId="77777777" w:rsidTr="00F62B40">
        <w:tc>
          <w:tcPr>
            <w:tcW w:w="2405" w:type="dxa"/>
          </w:tcPr>
          <w:p w14:paraId="5853FF4B" w14:textId="77777777" w:rsidR="00D7202F" w:rsidRDefault="00D7202F" w:rsidP="00F62B40">
            <w:pPr>
              <w:rPr>
                <w:rFonts w:eastAsia="MS Mincho"/>
                <w:lang w:eastAsia="ko-KR"/>
              </w:rPr>
            </w:pPr>
            <w:r>
              <w:rPr>
                <w:rFonts w:eastAsia="MS Mincho"/>
                <w:lang w:eastAsia="ko-KR"/>
              </w:rPr>
              <w:t>Panasonic</w:t>
            </w:r>
          </w:p>
        </w:tc>
        <w:tc>
          <w:tcPr>
            <w:tcW w:w="12176" w:type="dxa"/>
          </w:tcPr>
          <w:p w14:paraId="2975C207" w14:textId="77777777" w:rsidR="00D7202F" w:rsidRDefault="00D7202F" w:rsidP="00F62B40">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E47F35" w14:paraId="1B19F2C7" w14:textId="77777777" w:rsidTr="00586D5C">
        <w:tc>
          <w:tcPr>
            <w:tcW w:w="2405" w:type="dxa"/>
            <w:vAlign w:val="top"/>
          </w:tcPr>
          <w:p w14:paraId="6CB4DC7A" w14:textId="3AE2F36B" w:rsidR="00E47F35" w:rsidRDefault="00E47F35" w:rsidP="00E47F35">
            <w:pPr>
              <w:rPr>
                <w:rFonts w:eastAsia="MS Mincho"/>
                <w:lang w:eastAsia="ko-KR"/>
              </w:rPr>
            </w:pPr>
            <w:r>
              <w:rPr>
                <w:rFonts w:eastAsia="MS Mincho"/>
                <w:lang w:eastAsia="ko-KR"/>
              </w:rPr>
              <w:t>CATT</w:t>
            </w:r>
          </w:p>
        </w:tc>
        <w:tc>
          <w:tcPr>
            <w:tcW w:w="12176" w:type="dxa"/>
            <w:vAlign w:val="top"/>
          </w:tcPr>
          <w:p w14:paraId="717B1D24" w14:textId="2FA11987" w:rsidR="00E47F35" w:rsidRDefault="00E47F35" w:rsidP="00E47F35">
            <w:pPr>
              <w:rPr>
                <w:lang w:eastAsia="zh-CN"/>
              </w:rPr>
            </w:pPr>
            <w:r>
              <w:rPr>
                <w:lang w:eastAsia="zh-CN"/>
              </w:rPr>
              <w:t>Same view as Intel</w:t>
            </w:r>
          </w:p>
        </w:tc>
      </w:tr>
      <w:tr w:rsidR="006F2484" w14:paraId="4F4A7F75" w14:textId="77777777" w:rsidTr="00586D5C">
        <w:tc>
          <w:tcPr>
            <w:tcW w:w="2405" w:type="dxa"/>
            <w:vAlign w:val="top"/>
          </w:tcPr>
          <w:p w14:paraId="11BAA107" w14:textId="7068A0D6" w:rsidR="006F2484" w:rsidRDefault="006F2484" w:rsidP="00E47F35">
            <w:pPr>
              <w:rPr>
                <w:rFonts w:eastAsia="MS Mincho"/>
                <w:lang w:eastAsia="ja-JP"/>
              </w:rPr>
            </w:pPr>
            <w:r>
              <w:rPr>
                <w:rFonts w:eastAsia="MS Mincho" w:hint="eastAsia"/>
                <w:lang w:eastAsia="ja-JP"/>
              </w:rPr>
              <w:t>Sharp</w:t>
            </w:r>
          </w:p>
        </w:tc>
        <w:tc>
          <w:tcPr>
            <w:tcW w:w="12176" w:type="dxa"/>
            <w:vAlign w:val="top"/>
          </w:tcPr>
          <w:p w14:paraId="3FC04CAE" w14:textId="483FEC88" w:rsidR="006F2484" w:rsidRPr="006F2484" w:rsidRDefault="006F2484" w:rsidP="00E47F35">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6F2484" w14:paraId="310037C7" w14:textId="77777777" w:rsidTr="00586D5C">
        <w:tc>
          <w:tcPr>
            <w:tcW w:w="2405" w:type="dxa"/>
            <w:vAlign w:val="top"/>
          </w:tcPr>
          <w:p w14:paraId="0942F6FB" w14:textId="12D88DEF" w:rsidR="006F2484" w:rsidRPr="00A050EA" w:rsidRDefault="00A050EA" w:rsidP="00E47F35">
            <w:pPr>
              <w:rPr>
                <w:rFonts w:eastAsia="MS Mincho"/>
                <w:lang w:val="en-SE" w:eastAsia="ko-KR"/>
              </w:rPr>
            </w:pPr>
            <w:r>
              <w:rPr>
                <w:rFonts w:eastAsia="MS Mincho"/>
                <w:lang w:val="en-SE" w:eastAsia="ko-KR"/>
              </w:rPr>
              <w:t>Sony</w:t>
            </w:r>
          </w:p>
        </w:tc>
        <w:tc>
          <w:tcPr>
            <w:tcW w:w="12176" w:type="dxa"/>
            <w:vAlign w:val="top"/>
          </w:tcPr>
          <w:p w14:paraId="69099E06" w14:textId="7309DA9D" w:rsidR="006F2484" w:rsidRPr="00A050EA" w:rsidRDefault="00A050EA" w:rsidP="00A050EA">
            <w:pPr>
              <w:autoSpaceDE/>
              <w:autoSpaceDN/>
              <w:adjustRightInd/>
              <w:snapToGrid/>
              <w:spacing w:after="0" w:line="240" w:lineRule="auto"/>
              <w:rPr>
                <w:sz w:val="24"/>
                <w:szCs w:val="24"/>
                <w:lang w:eastAsia="zh-CN"/>
              </w:rPr>
            </w:pPr>
            <w:r>
              <w:rPr>
                <w:rFonts w:eastAsia="MS Mincho"/>
                <w:lang w:eastAsia="ja-JP"/>
              </w:rPr>
              <w:t>We appreciate the clarification from the FL</w:t>
            </w:r>
            <w:r>
              <w:rPr>
                <w:rFonts w:eastAsia="MS Mincho"/>
                <w:lang w:val="en-SE" w:eastAsia="ja-JP"/>
              </w:rPr>
              <w:t xml:space="preserve">, and </w:t>
            </w:r>
            <w:r>
              <w:rPr>
                <w:rFonts w:eastAsia="MS Mincho"/>
                <w:lang w:eastAsia="ja-JP"/>
              </w:rPr>
              <w:t>we would like to support the FL proposal in the 1st round</w:t>
            </w:r>
            <w:r>
              <w:rPr>
                <w:rFonts w:eastAsia="MS Mincho"/>
                <w:lang w:val="en-SE" w:eastAsia="ja-JP"/>
              </w:rPr>
              <w:t>.</w:t>
            </w:r>
            <w:r w:rsidRPr="005C1718">
              <w:rPr>
                <w:sz w:val="24"/>
                <w:szCs w:val="24"/>
                <w:lang w:eastAsia="zh-CN"/>
              </w:rPr>
              <w:t xml:space="preserve"> </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lastRenderedPageBreak/>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072291A" w14:textId="77777777" w:rsidR="001315D3" w:rsidRDefault="00734BFE">
      <w:r>
        <w:t>An open item is whether SSSG switching can support switching between PDCCH multi-slot monitoring periodicities (and per-slot monitoing,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lastRenderedPageBreak/>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ZTE, Sanechips</w:t>
            </w:r>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2072295C" w14:textId="77777777" w:rsidR="001315D3" w:rsidRDefault="00734BFE">
            <w:pPr>
              <w:rPr>
                <w:lang w:eastAsia="zh-CN"/>
              </w:rPr>
            </w:pPr>
            <w:r>
              <w:rPr>
                <w:lang w:eastAsia="zh-CN"/>
              </w:rPr>
              <w:lastRenderedPageBreak/>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ZTE, Sanechips</w:t>
            </w:r>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This is not necessary. This changed the monitoring behavior. if Y&lt;=X then such problem does no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ZTE, Sanechips</w:t>
            </w:r>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this can be considered , however currently we think this can be acheive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lastRenderedPageBreak/>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ZTE, Sanechips</w:t>
            </w:r>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lastRenderedPageBreak/>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ZTE, Sanechips</w:t>
            </w:r>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lastRenderedPageBreak/>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lastRenderedPageBreak/>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ZTE, Sanechips</w:t>
            </w:r>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lastRenderedPageBreak/>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ZTE, Sanechips</w:t>
            </w:r>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lastRenderedPageBreak/>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lastRenderedPageBreak/>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ZTE, Sanechips</w:t>
            </w:r>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lastRenderedPageBreak/>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ZTE, Sanechips</w:t>
            </w:r>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We support this proposal. We are also fine with Intel and InterDigital’s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lastRenderedPageBreak/>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ZTE, Sanechips</w:t>
            </w:r>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This shoud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lastRenderedPageBreak/>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ZTE, Sanechips</w:t>
            </w:r>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lastRenderedPageBreak/>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w:t>
            </w:r>
            <w:r>
              <w:rPr>
                <w:lang w:eastAsia="zh-CN"/>
              </w:rPr>
              <w:lastRenderedPageBreak/>
              <w:t>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ja-JP"/>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rsidR="00C53D32">
              <w:fldChar w:fldCharType="begin"/>
            </w:r>
            <w:r w:rsidR="00C53D32">
              <w:instrText xml:space="preserve"> SEQ Figure \* ARABIC </w:instrText>
            </w:r>
            <w:r w:rsidR="00C53D32">
              <w:fldChar w:fldCharType="separate"/>
            </w:r>
            <w:r>
              <w:t>1</w:t>
            </w:r>
            <w:r w:rsidR="00C53D32">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ja-JP"/>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rsidR="00C53D32">
              <w:fldChar w:fldCharType="begin"/>
            </w:r>
            <w:r w:rsidR="00C53D32">
              <w:instrText xml:space="preserve"> SEQ Figure \* ARABIC </w:instrText>
            </w:r>
            <w:r w:rsidR="00C53D32">
              <w:fldChar w:fldCharType="separate"/>
            </w:r>
            <w:r>
              <w:t>2</w:t>
            </w:r>
            <w:r w:rsidR="00C53D32">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w:t>
            </w:r>
            <w:r>
              <w:rPr>
                <w:lang w:eastAsia="zh-CN"/>
              </w:rPr>
              <w:lastRenderedPageBreak/>
              <w:t>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ja-JP"/>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rsidR="00C53D32">
              <w:fldChar w:fldCharType="begin"/>
            </w:r>
            <w:r w:rsidR="00C53D32">
              <w:instrText xml:space="preserve"> SEQ Figure \* ARABIC </w:instrText>
            </w:r>
            <w:r w:rsidR="00C53D32">
              <w:fldChar w:fldCharType="separate"/>
            </w:r>
            <w:r>
              <w:t>3</w:t>
            </w:r>
            <w:r w:rsidR="00C53D32">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ja-JP"/>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lastRenderedPageBreak/>
              <w:t xml:space="preserve">Figure </w:t>
            </w:r>
            <w:r w:rsidR="00C53D32">
              <w:fldChar w:fldCharType="begin"/>
            </w:r>
            <w:r w:rsidR="00C53D32">
              <w:instrText xml:space="preserve"> SEQ Figure \* ARABIC </w:instrText>
            </w:r>
            <w:r w:rsidR="00C53D32">
              <w:fldChar w:fldCharType="separate"/>
            </w:r>
            <w:r>
              <w:t>4</w:t>
            </w:r>
            <w:r w:rsidR="00C53D32">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rsidR="00C53D32">
              <w:fldChar w:fldCharType="begin"/>
            </w:r>
            <w:r w:rsidR="00C53D32">
              <w:instrText xml:space="preserve"> SEQ Table \* ARABIC </w:instrText>
            </w:r>
            <w:r w:rsidR="00C53D32">
              <w:fldChar w:fldCharType="separate"/>
            </w:r>
            <w:r>
              <w:t>1</w:t>
            </w:r>
            <w:r w:rsidR="00C53D32">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rsidR="00C53D32">
              <w:fldChar w:fldCharType="begin"/>
            </w:r>
            <w:r w:rsidR="00C53D32">
              <w:instrText xml:space="preserve"> SEQ Table \* ARABIC </w:instrText>
            </w:r>
            <w:r w:rsidR="00C53D32">
              <w:fldChar w:fldCharType="separate"/>
            </w:r>
            <w:r>
              <w:t>2</w:t>
            </w:r>
            <w:r w:rsidR="00C53D32">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rsidR="00C53D32">
              <w:fldChar w:fldCharType="begin"/>
            </w:r>
            <w:r w:rsidR="00C53D32">
              <w:instrText xml:space="preserve"> SEQ Table \* ARABIC </w:instrText>
            </w:r>
            <w:r w:rsidR="00C53D32">
              <w:fldChar w:fldCharType="separate"/>
            </w:r>
            <w:r>
              <w:t>3</w:t>
            </w:r>
            <w:r w:rsidR="00C53D32">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lastRenderedPageBreak/>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rsidR="00C53D32">
              <w:fldChar w:fldCharType="begin"/>
            </w:r>
            <w:r w:rsidR="00C53D32">
              <w:instrText xml:space="preserve"> SEQ Table \* ARABIC </w:instrText>
            </w:r>
            <w:r w:rsidR="00C53D32">
              <w:fldChar w:fldCharType="separate"/>
            </w:r>
            <w:r>
              <w:t>4</w:t>
            </w:r>
            <w:r w:rsidR="00C53D32">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For NR operation from 52.6-71GHz, PDCCH monitoring capability in FR1&amp;FR2 should be relaxed from slot level to multi-slot level </w:t>
            </w:r>
            <w:r>
              <w:rPr>
                <w:b/>
              </w:rPr>
              <w:lastRenderedPageBreak/>
              <w:t>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rsidR="00C53D32">
              <w:fldChar w:fldCharType="begin"/>
            </w:r>
            <w:r w:rsidR="00C53D32">
              <w:instrText xml:space="preserve"> SEQ Proposal \* ARABIC </w:instrText>
            </w:r>
            <w:r w:rsidR="00C53D32">
              <w:fldChar w:fldCharType="separate"/>
            </w:r>
            <w:r>
              <w:t>4</w:t>
            </w:r>
            <w:r w:rsidR="00C53D32">
              <w:fldChar w:fldCharType="end"/>
            </w:r>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xml:space="preserve">, there is no need to report UE capability on whether to support multi-slot-based capability explicitly, i.e.  reporting support of 480K/960K </w:t>
            </w:r>
            <w:r>
              <w:rPr>
                <w:rFonts w:eastAsia="SimSun"/>
                <w:szCs w:val="20"/>
                <w:lang w:eastAsia="zh-CN"/>
              </w:rPr>
              <w:lastRenderedPageBreak/>
              <w:t>SCS implies support of multi-slot-based capability.</w:t>
            </w:r>
          </w:p>
          <w:p w14:paraId="20722C19" w14:textId="77777777" w:rsidR="001315D3" w:rsidRDefault="00734BFE">
            <w:pPr>
              <w:pStyle w:val="Caption"/>
              <w:jc w:val="both"/>
            </w:pPr>
            <w:bookmarkStart w:id="13" w:name="_Ref78903382"/>
            <w:r>
              <w:t xml:space="preserve">Proposal </w:t>
            </w:r>
            <w:r w:rsidR="00C53D32">
              <w:fldChar w:fldCharType="begin"/>
            </w:r>
            <w:r w:rsidR="00C53D32">
              <w:instrText xml:space="preserve"> SEQ Proposal \* ARABIC </w:instrText>
            </w:r>
            <w:r w:rsidR="00C53D32">
              <w:fldChar w:fldCharType="separate"/>
            </w:r>
            <w:r>
              <w:t>5</w:t>
            </w:r>
            <w:r w:rsidR="00C53D32">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rsidR="00C53D32">
              <w:fldChar w:fldCharType="begin"/>
            </w:r>
            <w:r w:rsidR="00C53D32">
              <w:instrText xml:space="preserve"> SEQ Proposal \* ARABIC </w:instrText>
            </w:r>
            <w:r w:rsidR="00C53D32">
              <w:fldChar w:fldCharType="separate"/>
            </w:r>
            <w:r>
              <w:t>6</w:t>
            </w:r>
            <w:r w:rsidR="00C53D32">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lastRenderedPageBreak/>
              <w:t xml:space="preserve">Proposal </w:t>
            </w:r>
            <w:r w:rsidR="00C53D32">
              <w:fldChar w:fldCharType="begin"/>
            </w:r>
            <w:r w:rsidR="00C53D32">
              <w:instrText xml:space="preserve"> SEQ Proposal \* ARABIC </w:instrText>
            </w:r>
            <w:r w:rsidR="00C53D32">
              <w:fldChar w:fldCharType="separate"/>
            </w:r>
            <w:r>
              <w:t>7</w:t>
            </w:r>
            <w:r w:rsidR="00C53D32">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rsidR="00C53D32">
              <w:fldChar w:fldCharType="begin"/>
            </w:r>
            <w:r w:rsidR="00C53D32">
              <w:instrText xml:space="preserve"> SEQ Observation</w:instrText>
            </w:r>
            <w:r w:rsidR="00C53D32">
              <w:instrText xml:space="preserve"> \* ARABIC </w:instrText>
            </w:r>
            <w:r w:rsidR="00C53D32">
              <w:fldChar w:fldCharType="separate"/>
            </w:r>
            <w:r>
              <w:t>1</w:t>
            </w:r>
            <w:r w:rsidR="00C53D32">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lastRenderedPageBreak/>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lastRenderedPageBreak/>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lastRenderedPageBreak/>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ja-JP"/>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ja-JP"/>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ja-JP"/>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ja-JP"/>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lastRenderedPageBreak/>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X &gt; 1 slots (e.g. X = 4 for 480 KHz and X = 8 for 960 KHz)</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symbols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lastRenderedPageBreak/>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7.5pt;mso-width-percent:0;mso-height-percent:0;mso-width-percent:0;mso-height-percent:0" o:ole="">
                  <v:imagedata r:id="rId22" o:title=""/>
                </v:shape>
                <o:OLEObject Type="Embed" ProgID="Visio.Drawing.11" ShapeID="_x0000_i1025" DrawAspect="Content" ObjectID="_1691218866" r:id="rId23"/>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lastRenderedPageBreak/>
              <w:t xml:space="preserve">Alt 2: Use (X, Y) span as baseline to define the new capability. </w:t>
            </w:r>
          </w:p>
          <w:p w14:paraId="20722CA4" w14:textId="77777777" w:rsidR="001315D3" w:rsidRDefault="008116A1">
            <w:pPr>
              <w:pStyle w:val="BodyText"/>
              <w:keepNext/>
              <w:jc w:val="center"/>
            </w:pPr>
            <w:r>
              <w:rPr>
                <w:noProof/>
              </w:rPr>
              <w:object w:dxaOrig="4483" w:dyaOrig="900" w14:anchorId="2072313B">
                <v:shape id="_x0000_i1026" type="#_x0000_t75" alt="" style="width:221pt;height:41pt;mso-width-percent:0;mso-height-percent:0;mso-width-percent:0;mso-height-percent:0" o:ole="">
                  <v:imagedata r:id="rId24" o:title=""/>
                </v:shape>
                <o:OLEObject Type="Embed" ProgID="Visio.Drawing.11" ShapeID="_x0000_i1026" DrawAspect="Content" ObjectID="_1691218867" r:id="rId25"/>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8116A1">
            <w:pPr>
              <w:pStyle w:val="BodyText"/>
              <w:keepNext/>
              <w:jc w:val="center"/>
            </w:pPr>
            <w:r>
              <w:rPr>
                <w:noProof/>
              </w:rPr>
              <w:object w:dxaOrig="7654" w:dyaOrig="2083" w14:anchorId="2072313C">
                <v:shape id="_x0000_i1027" type="#_x0000_t75" alt="" style="width:380.5pt;height:103pt;mso-width-percent:0;mso-height-percent:0;mso-width-percent:0;mso-height-percent:0" o:ole="">
                  <v:imagedata r:id="rId26" o:title=""/>
                </v:shape>
                <o:OLEObject Type="Embed" ProgID="Visio.Drawing.11" ShapeID="_x0000_i1027" DrawAspect="Content" ObjectID="_1691218868" r:id="rId27"/>
              </w:object>
            </w:r>
          </w:p>
          <w:p w14:paraId="20722CAB" w14:textId="77777777" w:rsidR="001315D3" w:rsidRDefault="00734BFE">
            <w:pPr>
              <w:pStyle w:val="Caption"/>
              <w:rPr>
                <w:lang w:eastAsia="zh-CN"/>
              </w:rPr>
            </w:pPr>
            <w:bookmarkStart w:id="18" w:name="_Ref67870726"/>
            <w:r>
              <w:t xml:space="preserve">Figure </w:t>
            </w:r>
            <w:r w:rsidR="00C53D32">
              <w:fldChar w:fldCharType="begin"/>
            </w:r>
            <w:r w:rsidR="00C53D32">
              <w:instrText xml:space="preserve"> SEQ Figure \* ARABIC </w:instrText>
            </w:r>
            <w:r w:rsidR="00C53D32">
              <w:fldChar w:fldCharType="separate"/>
            </w:r>
            <w:r>
              <w:t>3</w:t>
            </w:r>
            <w:r w:rsidR="00C53D32">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 xml:space="preserve">of extra complexity </w:t>
            </w:r>
            <w:r>
              <w:rPr>
                <w:rFonts w:hint="eastAsia"/>
                <w:b/>
                <w:bCs/>
                <w:lang w:eastAsia="zh-CN"/>
              </w:rPr>
              <w:lastRenderedPageBreak/>
              <w:t>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lastRenderedPageBreak/>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lastRenderedPageBreak/>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C53D3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C53D3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C53D3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C53D3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lastRenderedPageBreak/>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lastRenderedPageBreak/>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rsidR="00C53D32">
              <w:fldChar w:fldCharType="begin"/>
            </w:r>
            <w:r w:rsidR="00C53D32">
              <w:instrText xml:space="preserve"> SEQ Table \* ARABIC </w:instrText>
            </w:r>
            <w:r w:rsidR="00C53D32">
              <w:fldChar w:fldCharType="separate"/>
            </w:r>
            <w:r>
              <w:t>2</w:t>
            </w:r>
            <w:r w:rsidR="00C53D32">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xml:space="preserve">, the monitoring periodicity and the offset </w:t>
            </w:r>
            <w:r>
              <w:lastRenderedPageBreak/>
              <w:t>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w:t>
            </w:r>
            <w:r>
              <w:rPr>
                <w:rFonts w:ascii="Times" w:eastAsia="Times New Roman" w:hAnsi="Times"/>
                <w:lang w:eastAsia="zh-CN"/>
              </w:rPr>
              <w:lastRenderedPageBreak/>
              <w:t xml:space="preserve">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ja-JP"/>
              </w:rPr>
              <w:lastRenderedPageBreak/>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ja-JP"/>
              </w:rPr>
              <w:lastRenderedPageBreak/>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ja-JP"/>
              </w:rPr>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lastRenderedPageBreak/>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 xml:space="preserve">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w:t>
            </w:r>
            <w:r>
              <w:rPr>
                <w:szCs w:val="18"/>
              </w:rPr>
              <w:lastRenderedPageBreak/>
              <w:t>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 xml:space="preserve">lt.2 can provide better </w:t>
            </w:r>
            <w:r>
              <w:rPr>
                <w:szCs w:val="18"/>
              </w:rPr>
              <w:lastRenderedPageBreak/>
              <w:t>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capability, and increments in which sliding occurs can be further studied. </w:t>
            </w:r>
            <w:r>
              <w:rPr>
                <w:lang w:eastAsia="zh-CN"/>
              </w:rPr>
              <w:lastRenderedPageBreak/>
              <w:t>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28" type="#_x0000_t75" alt="" style="width:427pt;height:108pt;mso-width-percent:0;mso-height-percent:0;mso-width-percent:0;mso-height-percent:0" o:ole="">
                  <v:imagedata r:id="rId31" o:title=""/>
                </v:shape>
                <o:OLEObject Type="Embed" ProgID="Visio.Drawing.15" ShapeID="_x0000_i1028" DrawAspect="Content" ObjectID="_1691218869" r:id="rId32"/>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rsidR="00C53D32">
              <w:fldChar w:fldCharType="begin"/>
            </w:r>
            <w:r w:rsidR="00C53D32">
              <w:instrText xml:space="preserve"> SEQ Table \* ARABIC </w:instrText>
            </w:r>
            <w:r w:rsidR="00C53D32">
              <w:fldChar w:fldCharType="separate"/>
            </w:r>
            <w:r>
              <w:t>5</w:t>
            </w:r>
            <w:r w:rsidR="00C53D32">
              <w:fldChar w:fldCharType="end"/>
            </w:r>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Pr="00A050EA" w:rsidRDefault="00734BFE">
            <w:pPr>
              <w:pStyle w:val="PL"/>
              <w:rPr>
                <w:lang w:val="sv-SE"/>
              </w:rPr>
            </w:pPr>
            <w:r>
              <w:t xml:space="preserve">        </w:t>
            </w:r>
            <w:r w:rsidRPr="00A050EA">
              <w:rPr>
                <w:lang w:val="sv-SE"/>
              </w:rPr>
              <w:t xml:space="preserve">sl1                                     </w:t>
            </w:r>
            <w:r w:rsidRPr="00A050EA">
              <w:rPr>
                <w:color w:val="993366"/>
                <w:lang w:val="sv-SE"/>
              </w:rPr>
              <w:t>NULL</w:t>
            </w:r>
            <w:r w:rsidRPr="00A050EA">
              <w:rPr>
                <w:lang w:val="sv-SE"/>
              </w:rPr>
              <w:t>,</w:t>
            </w:r>
          </w:p>
          <w:p w14:paraId="20722EC4" w14:textId="77777777" w:rsidR="001315D3" w:rsidRPr="00A050EA" w:rsidRDefault="00734BFE">
            <w:pPr>
              <w:pStyle w:val="PL"/>
              <w:rPr>
                <w:lang w:val="sv-SE"/>
              </w:rPr>
            </w:pPr>
            <w:r w:rsidRPr="00A050EA">
              <w:rPr>
                <w:lang w:val="sv-SE"/>
              </w:rPr>
              <w:lastRenderedPageBreak/>
              <w:t xml:space="preserve">        sl2                                     </w:t>
            </w:r>
            <w:r w:rsidRPr="00A050EA">
              <w:rPr>
                <w:color w:val="993366"/>
                <w:lang w:val="sv-SE"/>
              </w:rPr>
              <w:t>INTEGER</w:t>
            </w:r>
            <w:r w:rsidRPr="00A050EA">
              <w:rPr>
                <w:lang w:val="sv-SE"/>
              </w:rPr>
              <w:t xml:space="preserve"> (0..1),</w:t>
            </w:r>
          </w:p>
          <w:p w14:paraId="20722EC5" w14:textId="77777777" w:rsidR="001315D3" w:rsidRPr="00A050EA" w:rsidRDefault="00734BFE">
            <w:pPr>
              <w:pStyle w:val="PL"/>
              <w:rPr>
                <w:lang w:val="sv-SE"/>
              </w:rPr>
            </w:pPr>
            <w:r w:rsidRPr="00A050EA">
              <w:rPr>
                <w:lang w:val="sv-SE"/>
              </w:rPr>
              <w:t xml:space="preserve">        sl4                                     </w:t>
            </w:r>
            <w:r w:rsidRPr="00A050EA">
              <w:rPr>
                <w:color w:val="993366"/>
                <w:lang w:val="sv-SE"/>
              </w:rPr>
              <w:t>INTEGER</w:t>
            </w:r>
            <w:r w:rsidRPr="00A050EA">
              <w:rPr>
                <w:lang w:val="sv-SE"/>
              </w:rPr>
              <w:t xml:space="preserve"> (0..3),</w:t>
            </w:r>
          </w:p>
          <w:p w14:paraId="20722EC6" w14:textId="77777777" w:rsidR="001315D3" w:rsidRPr="00A050EA" w:rsidRDefault="00734BFE">
            <w:pPr>
              <w:pStyle w:val="PL"/>
              <w:rPr>
                <w:lang w:val="sv-SE"/>
              </w:rPr>
            </w:pPr>
            <w:r w:rsidRPr="00A050EA">
              <w:rPr>
                <w:lang w:val="sv-SE"/>
              </w:rPr>
              <w:t xml:space="preserve">        sl5                                     </w:t>
            </w:r>
            <w:r w:rsidRPr="00A050EA">
              <w:rPr>
                <w:color w:val="993366"/>
                <w:lang w:val="sv-SE"/>
              </w:rPr>
              <w:t>INTEGER</w:t>
            </w:r>
            <w:r w:rsidRPr="00A050EA">
              <w:rPr>
                <w:lang w:val="sv-SE"/>
              </w:rPr>
              <w:t xml:space="preserve"> (0..4),</w:t>
            </w:r>
          </w:p>
          <w:p w14:paraId="20722EC7" w14:textId="77777777" w:rsidR="001315D3" w:rsidRPr="00A050EA" w:rsidRDefault="00734BFE">
            <w:pPr>
              <w:pStyle w:val="PL"/>
              <w:rPr>
                <w:lang w:val="sv-SE"/>
              </w:rPr>
            </w:pPr>
            <w:r w:rsidRPr="00A050EA">
              <w:rPr>
                <w:lang w:val="sv-SE"/>
              </w:rPr>
              <w:t xml:space="preserve">        sl8                                     </w:t>
            </w:r>
            <w:r w:rsidRPr="00A050EA">
              <w:rPr>
                <w:color w:val="993366"/>
                <w:lang w:val="sv-SE"/>
              </w:rPr>
              <w:t>INTEGER</w:t>
            </w:r>
            <w:r w:rsidRPr="00A050EA">
              <w:rPr>
                <w:lang w:val="sv-SE"/>
              </w:rPr>
              <w:t xml:space="preserve"> (0..7),</w:t>
            </w:r>
          </w:p>
          <w:p w14:paraId="20722EC8" w14:textId="77777777" w:rsidR="001315D3" w:rsidRPr="00A050EA" w:rsidRDefault="00734BFE">
            <w:pPr>
              <w:pStyle w:val="PL"/>
              <w:rPr>
                <w:lang w:val="sv-SE"/>
              </w:rPr>
            </w:pPr>
            <w:r w:rsidRPr="00A050EA">
              <w:rPr>
                <w:lang w:val="sv-SE"/>
              </w:rPr>
              <w:t xml:space="preserve">        sl10                                    </w:t>
            </w:r>
            <w:r w:rsidRPr="00A050EA">
              <w:rPr>
                <w:color w:val="993366"/>
                <w:lang w:val="sv-SE"/>
              </w:rPr>
              <w:t>INTEGER</w:t>
            </w:r>
            <w:r w:rsidRPr="00A050EA">
              <w:rPr>
                <w:lang w:val="sv-SE"/>
              </w:rPr>
              <w:t xml:space="preserve"> (0..9),</w:t>
            </w:r>
          </w:p>
          <w:p w14:paraId="20722EC9" w14:textId="77777777" w:rsidR="001315D3" w:rsidRPr="00A050EA" w:rsidRDefault="00734BFE">
            <w:pPr>
              <w:pStyle w:val="PL"/>
              <w:rPr>
                <w:lang w:val="sv-SE"/>
              </w:rPr>
            </w:pPr>
            <w:r w:rsidRPr="00A050EA">
              <w:rPr>
                <w:lang w:val="sv-SE"/>
              </w:rPr>
              <w:t xml:space="preserve">        sl16                                    </w:t>
            </w:r>
            <w:r w:rsidRPr="00A050EA">
              <w:rPr>
                <w:color w:val="993366"/>
                <w:lang w:val="sv-SE"/>
              </w:rPr>
              <w:t>INTEGER</w:t>
            </w:r>
            <w:r w:rsidRPr="00A050EA">
              <w:rPr>
                <w:lang w:val="sv-SE"/>
              </w:rPr>
              <w:t xml:space="preserve"> (0..15),</w:t>
            </w:r>
          </w:p>
          <w:p w14:paraId="20722ECA" w14:textId="77777777" w:rsidR="001315D3" w:rsidRPr="00A050EA" w:rsidRDefault="00734BFE">
            <w:pPr>
              <w:pStyle w:val="PL"/>
              <w:rPr>
                <w:lang w:val="sv-SE"/>
              </w:rPr>
            </w:pPr>
            <w:r w:rsidRPr="00A050EA">
              <w:rPr>
                <w:lang w:val="sv-SE"/>
              </w:rPr>
              <w:t xml:space="preserve">        sl20                                    </w:t>
            </w:r>
            <w:r w:rsidRPr="00A050EA">
              <w:rPr>
                <w:color w:val="993366"/>
                <w:lang w:val="sv-SE"/>
              </w:rPr>
              <w:t>INTEGER</w:t>
            </w:r>
            <w:r w:rsidRPr="00A050EA">
              <w:rPr>
                <w:lang w:val="sv-SE"/>
              </w:rPr>
              <w:t xml:space="preserve"> (0..19),</w:t>
            </w:r>
          </w:p>
          <w:p w14:paraId="20722ECB" w14:textId="77777777" w:rsidR="001315D3" w:rsidRPr="00A050EA" w:rsidRDefault="00734BFE">
            <w:pPr>
              <w:pStyle w:val="PL"/>
              <w:rPr>
                <w:lang w:val="sv-SE"/>
              </w:rPr>
            </w:pPr>
            <w:r w:rsidRPr="00A050EA">
              <w:rPr>
                <w:lang w:val="sv-SE"/>
              </w:rPr>
              <w:t xml:space="preserve">        sl40                                    </w:t>
            </w:r>
            <w:r w:rsidRPr="00A050EA">
              <w:rPr>
                <w:color w:val="993366"/>
                <w:lang w:val="sv-SE"/>
              </w:rPr>
              <w:t>INTEGER</w:t>
            </w:r>
            <w:r w:rsidRPr="00A050EA">
              <w:rPr>
                <w:lang w:val="sv-SE"/>
              </w:rPr>
              <w:t xml:space="preserve"> (0..39),</w:t>
            </w:r>
          </w:p>
          <w:p w14:paraId="20722ECC" w14:textId="77777777" w:rsidR="001315D3" w:rsidRPr="00A050EA" w:rsidRDefault="00734BFE">
            <w:pPr>
              <w:pStyle w:val="PL"/>
              <w:rPr>
                <w:lang w:val="sv-SE"/>
              </w:rPr>
            </w:pPr>
            <w:r w:rsidRPr="00A050EA">
              <w:rPr>
                <w:lang w:val="sv-SE"/>
              </w:rPr>
              <w:t xml:space="preserve">        sl80                                    </w:t>
            </w:r>
            <w:r w:rsidRPr="00A050EA">
              <w:rPr>
                <w:color w:val="993366"/>
                <w:lang w:val="sv-SE"/>
              </w:rPr>
              <w:t>INTEGER</w:t>
            </w:r>
            <w:r w:rsidRPr="00A050EA">
              <w:rPr>
                <w:lang w:val="sv-SE"/>
              </w:rPr>
              <w:t xml:space="preserve"> (0..79),</w:t>
            </w:r>
          </w:p>
          <w:p w14:paraId="20722ECD" w14:textId="77777777" w:rsidR="001315D3" w:rsidRDefault="00734BFE">
            <w:pPr>
              <w:pStyle w:val="PL"/>
              <w:rPr>
                <w:lang w:val="nl-NL"/>
              </w:rPr>
            </w:pPr>
            <w:r w:rsidRPr="00A050EA">
              <w:rPr>
                <w:lang w:val="sv-S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Pr="00A050EA" w:rsidRDefault="00734BFE">
            <w:pPr>
              <w:pStyle w:val="PL"/>
              <w:rPr>
                <w:lang w:val="sv-SE"/>
              </w:rPr>
            </w:pPr>
            <w:r>
              <w:rPr>
                <w:lang w:val="nl-NL"/>
              </w:rPr>
              <w:t xml:space="preserve">        </w:t>
            </w:r>
            <w:r w:rsidRPr="00A050EA">
              <w:rPr>
                <w:lang w:val="sv-SE"/>
              </w:rPr>
              <w:t xml:space="preserve">sl1280                                  </w:t>
            </w:r>
            <w:r w:rsidRPr="00A050EA">
              <w:rPr>
                <w:color w:val="993366"/>
                <w:lang w:val="sv-SE"/>
              </w:rPr>
              <w:t>INTEGER</w:t>
            </w:r>
            <w:r w:rsidRPr="00A050EA">
              <w:rPr>
                <w:lang w:val="sv-SE"/>
              </w:rPr>
              <w:t xml:space="preserve"> (0..1279),</w:t>
            </w:r>
          </w:p>
          <w:p w14:paraId="20722ED1" w14:textId="77777777" w:rsidR="001315D3" w:rsidRPr="00A050EA" w:rsidRDefault="00734BFE">
            <w:pPr>
              <w:pStyle w:val="PL"/>
              <w:rPr>
                <w:lang w:val="sv-SE"/>
              </w:rPr>
            </w:pPr>
            <w:r w:rsidRPr="00A050EA">
              <w:rPr>
                <w:lang w:val="sv-SE"/>
              </w:rPr>
              <w:t xml:space="preserve">        sl2560                                  </w:t>
            </w:r>
            <w:r w:rsidRPr="00A050EA">
              <w:rPr>
                <w:color w:val="993366"/>
                <w:lang w:val="sv-SE"/>
              </w:rPr>
              <w:t>INTEGER</w:t>
            </w:r>
            <w:r w:rsidRPr="00A050EA">
              <w:rPr>
                <w:lang w:val="sv-S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w:t>
            </w:r>
            <w:r>
              <w:rPr>
                <w:lang w:eastAsia="zh-CN"/>
              </w:rPr>
              <w:lastRenderedPageBreak/>
              <w:t xml:space="preserve">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t xml:space="preserve"> </w:t>
            </w:r>
            <w:r>
              <w:rPr>
                <w:noProof/>
                <w:lang w:eastAsia="ja-JP"/>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3"/>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rsidR="00C53D32">
              <w:fldChar w:fldCharType="begin"/>
            </w:r>
            <w:r w:rsidR="00C53D32">
              <w:instrText xml:space="preserve"> SEQ Figure \* ARABIC </w:instrText>
            </w:r>
            <w:r w:rsidR="00C53D32">
              <w:fldChar w:fldCharType="separate"/>
            </w:r>
            <w:r>
              <w:t>5</w:t>
            </w:r>
            <w:r w:rsidR="00C53D32">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ja-JP"/>
              </w:rPr>
              <w:lastRenderedPageBreak/>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4"/>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3.5pt;height:2in;mso-width-percent:0;mso-height-percent:0;mso-width-percent:0;mso-height-percent:0" o:ole="">
                  <v:imagedata r:id="rId35" o:title=""/>
                </v:shape>
                <o:OLEObject Type="Embed" ProgID="Visio.Drawing.15" ShapeID="_x0000_i1029" DrawAspect="Content" ObjectID="_1691218870" r:id="rId36"/>
              </w:object>
            </w:r>
          </w:p>
          <w:p w14:paraId="20722F15" w14:textId="77777777" w:rsidR="001315D3" w:rsidRDefault="00734BFE">
            <w:pPr>
              <w:jc w:val="center"/>
              <w:rPr>
                <w:b/>
              </w:rPr>
            </w:pPr>
            <w:r>
              <w:rPr>
                <w:b/>
              </w:rPr>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lastRenderedPageBreak/>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ja-JP"/>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7"/>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30" type="#_x0000_t75" alt="" style="width:468pt;height:200.5pt;mso-width-percent:0;mso-height-percent:0;mso-width-percent:0;mso-height-percent:0" o:ole="">
                  <v:imagedata r:id="rId38" o:title=""/>
                </v:shape>
                <o:OLEObject Type="Embed" ProgID="Visio.Drawing.15" ShapeID="_x0000_i1030" DrawAspect="Content" ObjectID="_1691218871" r:id="rId39"/>
              </w:object>
            </w:r>
          </w:p>
          <w:p w14:paraId="20722F51" w14:textId="77777777" w:rsidR="001315D3" w:rsidRDefault="00734BFE">
            <w:pPr>
              <w:pStyle w:val="Caption"/>
            </w:pPr>
            <w:bookmarkStart w:id="230" w:name="_Ref68206910"/>
            <w:r>
              <w:t xml:space="preserve">Figure </w:t>
            </w:r>
            <w:r w:rsidR="00C53D32">
              <w:fldChar w:fldCharType="begin"/>
            </w:r>
            <w:r w:rsidR="00C53D32">
              <w:instrText xml:space="preserve"> SEQ Figure \* ARABIC </w:instrText>
            </w:r>
            <w:r w:rsidR="00C53D32">
              <w:fldChar w:fldCharType="separate"/>
            </w:r>
            <w:r>
              <w:t>1</w:t>
            </w:r>
            <w:r w:rsidR="00C53D32">
              <w:fldChar w:fldCharType="end"/>
            </w:r>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lastRenderedPageBreak/>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rsidR="00C53D32">
              <w:fldChar w:fldCharType="begin"/>
            </w:r>
            <w:r w:rsidR="00C53D32">
              <w:instrText xml:space="preserve"> SEQ Proposal \* ARABIC </w:instrText>
            </w:r>
            <w:r w:rsidR="00C53D32">
              <w:fldChar w:fldCharType="separate"/>
            </w:r>
            <w:r>
              <w:t>7</w:t>
            </w:r>
            <w:r w:rsidR="00C53D32">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8116A1">
            <w:pPr>
              <w:jc w:val="center"/>
            </w:pPr>
            <w:r>
              <w:rPr>
                <w:noProof/>
              </w:rPr>
              <w:object w:dxaOrig="9771" w:dyaOrig="1234" w14:anchorId="2072314C">
                <v:shape id="_x0000_i1031" type="#_x0000_t75" alt="" style="width:488.5pt;height:67pt;mso-width-percent:0;mso-height-percent:0;mso-width-percent:0;mso-height-percent:0" o:ole="">
                  <v:imagedata r:id="rId40" o:title=""/>
                </v:shape>
                <o:OLEObject Type="Embed" ProgID="Visio.Drawing.15" ShapeID="_x0000_i1031" DrawAspect="Content" ObjectID="_1691218872" r:id="rId41"/>
              </w:object>
            </w:r>
          </w:p>
          <w:p w14:paraId="20722F63" w14:textId="77777777" w:rsidR="001315D3" w:rsidRDefault="00734BFE">
            <w:pPr>
              <w:pStyle w:val="Caption"/>
            </w:pPr>
            <w:bookmarkStart w:id="252" w:name="_Ref68252811"/>
            <w:r>
              <w:t xml:space="preserve">Figure </w:t>
            </w:r>
            <w:r w:rsidR="00C53D32">
              <w:fldChar w:fldCharType="begin"/>
            </w:r>
            <w:r w:rsidR="00C53D32">
              <w:instrText xml:space="preserve"> SEQ Figure \* ARABIC </w:instrText>
            </w:r>
            <w:r w:rsidR="00C53D32">
              <w:fldChar w:fldCharType="separate"/>
            </w:r>
            <w:r>
              <w:t>2</w:t>
            </w:r>
            <w:r w:rsidR="00C53D32">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32" type="#_x0000_t75" alt="" style="width:380.5pt;height:103pt;mso-width-percent:0;mso-height-percent:0;mso-width-percent:0;mso-height-percent:0" o:ole="">
                  <v:imagedata r:id="rId42" o:title=""/>
                </v:shape>
                <o:OLEObject Type="Embed" ProgID="Visio.Drawing.15" ShapeID="_x0000_i1032" DrawAspect="Content" ObjectID="_1691218873" r:id="rId43"/>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lastRenderedPageBreak/>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ja-JP"/>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4"/>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rsidR="00C53D32">
              <w:fldChar w:fldCharType="begin"/>
            </w:r>
            <w:r w:rsidR="00C53D32">
              <w:instrText xml:space="preserve"> SEQ Figure \* ARABIC </w:instrText>
            </w:r>
            <w:r w:rsidR="00C53D32">
              <w:fldChar w:fldCharType="separate"/>
            </w:r>
            <w:r>
              <w:t>1</w:t>
            </w:r>
            <w:r w:rsidR="00C53D32">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 xml:space="preserve">+X instead </w:t>
            </w:r>
            <w:r>
              <w:rPr>
                <w:rFonts w:eastAsiaTheme="minorEastAsia"/>
                <w:sz w:val="24"/>
                <w:szCs w:val="24"/>
                <w:lang w:val="en-GB" w:eastAsia="ja-JP"/>
              </w:rPr>
              <w:lastRenderedPageBreak/>
              <w:t>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Topic A4: PDCCH Extensions for e.g.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8116A1">
            <w:pPr>
              <w:pStyle w:val="BodyText"/>
              <w:jc w:val="center"/>
              <w:rPr>
                <w:rFonts w:eastAsia="SimSun"/>
                <w:b/>
                <w:sz w:val="18"/>
                <w:szCs w:val="18"/>
                <w:lang w:eastAsia="zh-CN"/>
              </w:rPr>
            </w:pPr>
            <w:r>
              <w:rPr>
                <w:noProof/>
              </w:rPr>
              <w:object w:dxaOrig="4114" w:dyaOrig="7303" w14:anchorId="20723150">
                <v:shape id="_x0000_i1033" type="#_x0000_t75" alt="" style="width:211pt;height:365pt;mso-width-percent:0;mso-height-percent:0;mso-width-percent:0;mso-height-percent:0" o:ole="">
                  <v:imagedata r:id="rId45" o:title=""/>
                </v:shape>
                <o:OLEObject Type="Embed" ProgID="Visio.Drawing.15" ShapeID="_x0000_i1033" DrawAspect="Content" ObjectID="_1691218874" r:id="rId46"/>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8478" w14:textId="77777777" w:rsidR="00C53D32" w:rsidRDefault="00C53D32" w:rsidP="006228BF">
      <w:pPr>
        <w:spacing w:after="0" w:line="240" w:lineRule="auto"/>
      </w:pPr>
      <w:r>
        <w:separator/>
      </w:r>
    </w:p>
  </w:endnote>
  <w:endnote w:type="continuationSeparator" w:id="0">
    <w:p w14:paraId="45CD6EB5" w14:textId="77777777" w:rsidR="00C53D32" w:rsidRDefault="00C53D32"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Microsoft JhengHei"/>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F0E5" w14:textId="77777777" w:rsidR="00C53D32" w:rsidRDefault="00C53D32" w:rsidP="006228BF">
      <w:pPr>
        <w:spacing w:after="0" w:line="240" w:lineRule="auto"/>
      </w:pPr>
      <w:r>
        <w:separator/>
      </w:r>
    </w:p>
  </w:footnote>
  <w:footnote w:type="continuationSeparator" w:id="0">
    <w:p w14:paraId="328F7F76" w14:textId="77777777" w:rsidR="00C53D32" w:rsidRDefault="00C53D32"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4"/>
  </w:num>
  <w:num w:numId="4">
    <w:abstractNumId w:val="60"/>
  </w:num>
  <w:num w:numId="5">
    <w:abstractNumId w:val="48"/>
  </w:num>
  <w:num w:numId="6">
    <w:abstractNumId w:val="36"/>
  </w:num>
  <w:num w:numId="7">
    <w:abstractNumId w:val="40"/>
  </w:num>
  <w:num w:numId="8">
    <w:abstractNumId w:val="66"/>
  </w:num>
  <w:num w:numId="9">
    <w:abstractNumId w:val="41"/>
  </w:num>
  <w:num w:numId="10">
    <w:abstractNumId w:val="62"/>
  </w:num>
  <w:num w:numId="11">
    <w:abstractNumId w:val="31"/>
  </w:num>
  <w:num w:numId="12">
    <w:abstractNumId w:val="21"/>
  </w:num>
  <w:num w:numId="13">
    <w:abstractNumId w:val="28"/>
  </w:num>
  <w:num w:numId="14">
    <w:abstractNumId w:val="46"/>
  </w:num>
  <w:num w:numId="15">
    <w:abstractNumId w:val="25"/>
  </w:num>
  <w:num w:numId="16">
    <w:abstractNumId w:val="44"/>
  </w:num>
  <w:num w:numId="17">
    <w:abstractNumId w:val="12"/>
  </w:num>
  <w:num w:numId="18">
    <w:abstractNumId w:val="26"/>
  </w:num>
  <w:num w:numId="19">
    <w:abstractNumId w:val="53"/>
  </w:num>
  <w:num w:numId="20">
    <w:abstractNumId w:val="51"/>
  </w:num>
  <w:num w:numId="21">
    <w:abstractNumId w:val="47"/>
  </w:num>
  <w:num w:numId="22">
    <w:abstractNumId w:val="33"/>
  </w:num>
  <w:num w:numId="23">
    <w:abstractNumId w:val="39"/>
  </w:num>
  <w:num w:numId="24">
    <w:abstractNumId w:val="30"/>
  </w:num>
  <w:num w:numId="25">
    <w:abstractNumId w:val="63"/>
  </w:num>
  <w:num w:numId="26">
    <w:abstractNumId w:val="11"/>
  </w:num>
  <w:num w:numId="27">
    <w:abstractNumId w:val="5"/>
  </w:num>
  <w:num w:numId="28">
    <w:abstractNumId w:val="10"/>
  </w:num>
  <w:num w:numId="29">
    <w:abstractNumId w:val="2"/>
  </w:num>
  <w:num w:numId="30">
    <w:abstractNumId w:val="56"/>
  </w:num>
  <w:num w:numId="31">
    <w:abstractNumId w:val="4"/>
  </w:num>
  <w:num w:numId="32">
    <w:abstractNumId w:val="17"/>
  </w:num>
  <w:num w:numId="33">
    <w:abstractNumId w:val="49"/>
  </w:num>
  <w:num w:numId="34">
    <w:abstractNumId w:val="18"/>
  </w:num>
  <w:num w:numId="35">
    <w:abstractNumId w:val="1"/>
  </w:num>
  <w:num w:numId="36">
    <w:abstractNumId w:val="0"/>
  </w:num>
  <w:num w:numId="37">
    <w:abstractNumId w:val="54"/>
  </w:num>
  <w:num w:numId="38">
    <w:abstractNumId w:val="7"/>
  </w:num>
  <w:num w:numId="39">
    <w:abstractNumId w:val="59"/>
  </w:num>
  <w:num w:numId="40">
    <w:abstractNumId w:val="8"/>
  </w:num>
  <w:num w:numId="41">
    <w:abstractNumId w:val="6"/>
  </w:num>
  <w:num w:numId="42">
    <w:abstractNumId w:val="34"/>
  </w:num>
  <w:num w:numId="43">
    <w:abstractNumId w:val="23"/>
  </w:num>
  <w:num w:numId="44">
    <w:abstractNumId w:val="58"/>
  </w:num>
  <w:num w:numId="45">
    <w:abstractNumId w:val="32"/>
  </w:num>
  <w:num w:numId="46">
    <w:abstractNumId w:val="52"/>
  </w:num>
  <w:num w:numId="47">
    <w:abstractNumId w:val="22"/>
  </w:num>
  <w:num w:numId="48">
    <w:abstractNumId w:val="57"/>
  </w:num>
  <w:num w:numId="49">
    <w:abstractNumId w:val="29"/>
  </w:num>
  <w:num w:numId="50">
    <w:abstractNumId w:val="50"/>
  </w:num>
  <w:num w:numId="51">
    <w:abstractNumId w:val="15"/>
  </w:num>
  <w:num w:numId="52">
    <w:abstractNumId w:val="43"/>
  </w:num>
  <w:num w:numId="53">
    <w:abstractNumId w:val="55"/>
  </w:num>
  <w:num w:numId="54">
    <w:abstractNumId w:val="13"/>
  </w:num>
  <w:num w:numId="55">
    <w:abstractNumId w:val="14"/>
  </w:num>
  <w:num w:numId="56">
    <w:abstractNumId w:val="65"/>
  </w:num>
  <w:num w:numId="57">
    <w:abstractNumId w:val="19"/>
  </w:num>
  <w:num w:numId="58">
    <w:abstractNumId w:val="35"/>
  </w:num>
  <w:num w:numId="59">
    <w:abstractNumId w:val="24"/>
  </w:num>
  <w:num w:numId="60">
    <w:abstractNumId w:val="45"/>
  </w:num>
  <w:num w:numId="61">
    <w:abstractNumId w:val="20"/>
  </w:num>
  <w:num w:numId="62">
    <w:abstractNumId w:val="42"/>
  </w:num>
  <w:num w:numId="63">
    <w:abstractNumId w:val="16"/>
  </w:num>
  <w:num w:numId="64">
    <w:abstractNumId w:val="37"/>
  </w:num>
  <w:num w:numId="65">
    <w:abstractNumId w:val="61"/>
  </w:num>
  <w:num w:numId="66">
    <w:abstractNumId w:val="3"/>
  </w:num>
  <w:num w:numId="6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styleId="Revision">
    <w:name w:val="Revision"/>
    <w:hidden/>
    <w:uiPriority w:val="99"/>
    <w:semiHidden/>
    <w:rsid w:val="00205EF8"/>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3.emf"/><Relationship Id="rId39" Type="http://schemas.openxmlformats.org/officeDocument/2006/relationships/package" Target="embeddings/Microsoft_Visio___3.vsdx"/><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oleObject" Target="embeddings/Microsoft_Visio_2003-2010___2.vsd"/><Relationship Id="rId33" Type="http://schemas.openxmlformats.org/officeDocument/2006/relationships/image" Target="media/image18.png"/><Relationship Id="rId38" Type="http://schemas.openxmlformats.org/officeDocument/2006/relationships/image" Target="media/image22.emf"/><Relationship Id="rId46" Type="http://schemas.openxmlformats.org/officeDocument/2006/relationships/package" Target="embeddings/Microsoft_Visio___6.vsdx"/><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package" Target="embeddings/Microsoft_Visio___4.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package" Target="embeddings/Microsoft_Visio___1.vsdx"/><Relationship Id="rId37" Type="http://schemas.openxmlformats.org/officeDocument/2006/relationships/image" Target="media/image21.png"/><Relationship Id="rId40" Type="http://schemas.openxmlformats.org/officeDocument/2006/relationships/image" Target="media/image23.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1.vsd"/><Relationship Id="rId28" Type="http://schemas.openxmlformats.org/officeDocument/2006/relationships/image" Target="media/image14.png"/><Relationship Id="rId36"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oleObject" Target="embeddings/Microsoft_Visio_2003-2010___3.vsd"/><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package" Target="embeddings/Microsoft_Visio___5.vsdx"/><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DE31C4-A07F-41E5-AB49-7591A8117BD0}">
  <ds:schemaRefs>
    <ds:schemaRef ds:uri="http://schemas.openxmlformats.org/officeDocument/2006/bibliography"/>
  </ds:schemaRefs>
</ds:datastoreItem>
</file>

<file path=customXml/itemProps2.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4.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39519</Words>
  <Characters>209455</Characters>
  <Application>Microsoft Office Word</Application>
  <DocSecurity>0</DocSecurity>
  <Lines>1745</Lines>
  <Paragraphs>496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248478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Zhao, Kun</cp:lastModifiedBy>
  <cp:revision>3</cp:revision>
  <cp:lastPrinted>2016-08-13T07:06:00Z</cp:lastPrinted>
  <dcterms:created xsi:type="dcterms:W3CDTF">2021-08-23T08:12:00Z</dcterms:created>
  <dcterms:modified xsi:type="dcterms:W3CDTF">2021-08-23T08:15:00Z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