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9D6C" w14:textId="77777777"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77777777"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2F6C87">
        <w:rPr>
          <w:rFonts w:ascii="Times New Roman" w:hAnsi="Times New Roman"/>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15.6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77777777" w:rsidR="00C231B8" w:rsidRDefault="00350025">
      <w:pPr>
        <w:pStyle w:val="Heading4"/>
        <w:rPr>
          <w:lang w:eastAsia="zh-CN"/>
        </w:rPr>
      </w:pPr>
      <w:r>
        <w:rPr>
          <w:lang w:eastAsia="zh-CN"/>
        </w:rPr>
        <w:t>Summary of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2F6C87">
              <w:rPr>
                <w:position w:val="-6"/>
              </w:rPr>
              <w:pict w14:anchorId="3962B5C9">
                <v:shape id="_x0000_i1026" type="#_x0000_t75" style="width:21.6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F6C87">
              <w:rPr>
                <w:position w:val="-6"/>
              </w:rPr>
              <w:pict w14:anchorId="3962B5CA">
                <v:shape id="_x0000_i1027" type="#_x0000_t75" style="width:21.6pt;height:15.6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2F6C87">
              <w:rPr>
                <w:position w:val="-6"/>
              </w:rPr>
              <w:pict w14:anchorId="3962B5CB">
                <v:shape id="_x0000_i1028" type="#_x0000_t75" style="width:21.6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F6C87">
              <w:rPr>
                <w:position w:val="-6"/>
              </w:rPr>
              <w:pict w14:anchorId="3962B5CC">
                <v:shape id="_x0000_i1029" type="#_x0000_t75" style="width:21.6pt;height:15.6pt"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2F6C87">
              <w:rPr>
                <w:position w:val="-6"/>
              </w:rPr>
              <w:pict w14:anchorId="3962B5CD">
                <v:shape id="_x0000_i1030" type="#_x0000_t75" style="width:21.6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F6C87">
              <w:rPr>
                <w:position w:val="-6"/>
              </w:rPr>
              <w:pict w14:anchorId="3962B5CE">
                <v:shape id="_x0000_i1031" type="#_x0000_t75" style="width:21.6pt;height:15.6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2F6C87">
              <w:rPr>
                <w:position w:val="-6"/>
              </w:rPr>
              <w:pict w14:anchorId="3962B5CF">
                <v:shape id="_x0000_i1032" type="#_x0000_t75" style="width:21.6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F6C87">
              <w:rPr>
                <w:position w:val="-6"/>
              </w:rPr>
              <w:pict w14:anchorId="3962B5D0">
                <v:shape id="_x0000_i1033" type="#_x0000_t75" style="width:21.6pt;height:15.6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2F6C87">
              <w:rPr>
                <w:position w:val="-6"/>
              </w:rPr>
              <w:pict w14:anchorId="3962B5D1">
                <v:shape id="_x0000_i1034" type="#_x0000_t75" style="width:21.6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F6C87">
              <w:rPr>
                <w:position w:val="-6"/>
              </w:rPr>
              <w:pict w14:anchorId="3962B5D2">
                <v:shape id="_x0000_i1035" type="#_x0000_t75" style="width:21.6pt;height:15.6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2F6C87">
              <w:rPr>
                <w:position w:val="-6"/>
              </w:rPr>
              <w:pict w14:anchorId="3962B5D3">
                <v:shape id="_x0000_i1036" type="#_x0000_t75" style="width:21.6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F6C87">
              <w:rPr>
                <w:position w:val="-6"/>
              </w:rPr>
              <w:pict w14:anchorId="3962B5D4">
                <v:shape id="_x0000_i1037" type="#_x0000_t75" style="width:21.6pt;height:15.6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77777777" w:rsidR="00C231B8" w:rsidRDefault="00C231B8">
      <w:pPr>
        <w:pStyle w:val="BodyText"/>
        <w:spacing w:after="0"/>
        <w:rPr>
          <w:rFonts w:ascii="Times New Roman" w:hAnsi="Times New Roman"/>
          <w:sz w:val="22"/>
          <w:szCs w:val="22"/>
          <w:lang w:eastAsia="zh-CN"/>
        </w:rPr>
      </w:pPr>
    </w:p>
    <w:p w14:paraId="39629F4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InterDigital</w:t>
            </w:r>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C7DEC2"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C7DEC2"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10" w:dyaOrig="360" w14:anchorId="3962B5D5">
                      <v:shape id="_x0000_i1038" type="#_x0000_t75" style="width:135pt;height:18pt" o:ole="">
                        <v:imagedata r:id="rId15" o:title=""/>
                      </v:shape>
                      <o:OLEObject Type="Embed" ProgID="Equation.3" ShapeID="_x0000_i1038" DrawAspect="Content" ObjectID="_1691413514"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80" w:dyaOrig="320" w14:anchorId="3962B5D6">
                      <v:shape id="_x0000_i1039" type="#_x0000_t75" style="width:33.6pt;height:15.6pt" o:ole="">
                        <v:imagedata r:id="rId17" o:title=""/>
                      </v:shape>
                      <o:OLEObject Type="Embed" ProgID="Equation.3" ShapeID="_x0000_i1039" DrawAspect="Content" ObjectID="_1691413515"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C7DEC2"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762" w:type="dxa"/>
            <w:shd w:val="clear" w:color="auto" w:fill="C7DEC2"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C7DEC2"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C7DEC2"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C7DEC2"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C7DEC2"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C7DEC2"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C7DEC2"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C7DEC2"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8762" w:type="dxa"/>
            <w:shd w:val="clear" w:color="auto" w:fill="C7DEC2"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C7DEC2"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CATT</w:t>
            </w:r>
          </w:p>
        </w:tc>
        <w:tc>
          <w:tcPr>
            <w:tcW w:w="8762" w:type="dxa"/>
            <w:shd w:val="clear" w:color="auto" w:fill="C7DEC2"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C7DEC2"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C7DEC2"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C7DEC2"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C7DEC2"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C7DEC2"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t>ZTE, Sanechips</w:t>
            </w:r>
          </w:p>
        </w:tc>
        <w:tc>
          <w:tcPr>
            <w:tcW w:w="8762" w:type="dxa"/>
            <w:shd w:val="clear" w:color="auto" w:fill="C7DEC2"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C7DEC2"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C7DEC2"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C7DEC2"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C7DEC2"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C7DEC2"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C7DEC2"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C7DEC2"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C7DEC2"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C7DEC2"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C7DEC2"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350025">
            <w:r>
              <w:object w:dxaOrig="8670" w:dyaOrig="1260" w14:anchorId="3962B5D7">
                <v:shape id="_x0000_i1040" type="#_x0000_t75" style="width:434.4pt;height:63pt" o:ole="">
                  <v:imagedata r:id="rId19" o:title=""/>
                </v:shape>
                <o:OLEObject Type="Embed" ProgID="Visio.Drawing.15" ShapeID="_x0000_i1040" DrawAspect="Content" ObjectID="_1691413516" r:id="rId20"/>
              </w:object>
            </w:r>
          </w:p>
          <w:p w14:paraId="3962A296" w14:textId="77777777" w:rsidR="00C231B8" w:rsidRDefault="00350025">
            <w:r>
              <w:t>DB shift within DBTW:</w:t>
            </w:r>
          </w:p>
          <w:p w14:paraId="3962A297" w14:textId="77777777" w:rsidR="00C231B8" w:rsidRDefault="00350025">
            <w:r>
              <w:object w:dxaOrig="8520" w:dyaOrig="1200" w14:anchorId="3962B5D8">
                <v:shape id="_x0000_i1041" type="#_x0000_t75" style="width:426pt;height:60pt" o:ole="">
                  <v:imagedata r:id="rId21" o:title=""/>
                </v:shape>
                <o:OLEObject Type="Embed" ProgID="Visio.Drawing.15" ShapeID="_x0000_i1041" DrawAspect="Content" ObjectID="_1691413517"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C7DEC2"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C7DEC2"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t>ZTE, Sanechips</w:t>
            </w:r>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1.1-4B)</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Futurewei, Lenovo/Motorola Mobility, Qualcomm, Samsung, LGE, Futurwei, NEC, ZTE/Sanechips, Interdigital, Nokia, Intel, Docomo, Huawei/HiSilicon, OPPO, Convida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BAD6B4"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BAD6B4"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BAD6B4"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BAD6B4"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BAD6B4"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BAD6B4"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BAD6B4"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BAD6B4"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BAD6B4"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BAD6B4"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BAD6B4"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1.1-4B)</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1.1-2D) – cleaned up</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AA3CE80" w:rsidR="0066262C" w:rsidRDefault="0066262C" w:rsidP="0066262C">
      <w:pPr>
        <w:pStyle w:val="Heading5"/>
        <w:rPr>
          <w:rFonts w:ascii="Times New Roman" w:hAnsi="Times New Roman"/>
          <w:b/>
          <w:bCs/>
          <w:lang w:eastAsia="zh-CN"/>
        </w:rPr>
      </w:pPr>
      <w:r>
        <w:rPr>
          <w:rFonts w:ascii="Times New Roman" w:hAnsi="Times New Roman"/>
          <w:b/>
          <w:bCs/>
          <w:lang w:eastAsia="zh-CN"/>
        </w:rPr>
        <w:t>Proposal 1.1-2E)</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08423B" w14:paraId="7DED68DE" w14:textId="77777777">
        <w:tc>
          <w:tcPr>
            <w:tcW w:w="2065" w:type="dxa"/>
          </w:tcPr>
          <w:p w14:paraId="6BBC88F0" w14:textId="30145FE8" w:rsidR="0008423B" w:rsidRDefault="0008423B"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80B8D0F" w14:textId="2D47D681" w:rsidR="0008423B" w:rsidRDefault="00A352D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w:t>
            </w:r>
            <w:r w:rsidR="0077781A">
              <w:rPr>
                <w:rFonts w:ascii="Times New Roman" w:eastAsia="MS Mincho" w:hAnsi="Times New Roman"/>
                <w:sz w:val="22"/>
                <w:szCs w:val="22"/>
                <w:lang w:eastAsia="ja-JP"/>
              </w:rPr>
              <w:t xml:space="preserve"> than Proposal 1.1-5B</w:t>
            </w:r>
            <w:r w:rsidR="00F01407">
              <w:rPr>
                <w:rFonts w:ascii="Times New Roman" w:eastAsia="MS Mincho" w:hAnsi="Times New Roman"/>
                <w:sz w:val="22"/>
                <w:szCs w:val="22"/>
                <w:lang w:eastAsia="ja-JP"/>
              </w:rPr>
              <w:t>)</w:t>
            </w:r>
            <w:r w:rsidR="005C3076">
              <w:rPr>
                <w:rFonts w:ascii="Times New Roman" w:eastAsia="MS Mincho" w:hAnsi="Times New Roman"/>
                <w:sz w:val="22"/>
                <w:szCs w:val="22"/>
                <w:lang w:eastAsia="ja-JP"/>
              </w:rPr>
              <w:t>, which</w:t>
            </w:r>
            <w:r w:rsidR="0077781A">
              <w:rPr>
                <w:rFonts w:ascii="Times New Roman" w:eastAsia="MS Mincho" w:hAnsi="Times New Roman"/>
                <w:sz w:val="22"/>
                <w:szCs w:val="22"/>
                <w:lang w:eastAsia="ja-JP"/>
              </w:rPr>
              <w:t xml:space="preserve"> is too restrictive</w:t>
            </w:r>
            <w:r w:rsidR="00287FBA">
              <w:rPr>
                <w:rFonts w:ascii="Times New Roman" w:eastAsia="MS Mincho" w:hAnsi="Times New Roman"/>
                <w:sz w:val="22"/>
                <w:szCs w:val="22"/>
                <w:lang w:eastAsia="ja-JP"/>
              </w:rPr>
              <w:t xml:space="preserve"> and may result in loss of SSB transmission with specific beams under LBT</w:t>
            </w:r>
            <w:r w:rsidR="00955CEE">
              <w:rPr>
                <w:rFonts w:ascii="Times New Roman" w:eastAsia="MS Mincho" w:hAnsi="Times New Roman"/>
                <w:sz w:val="22"/>
                <w:szCs w:val="22"/>
                <w:lang w:eastAsia="ja-JP"/>
              </w:rPr>
              <w:t xml:space="preserve"> scenarios, which is the whole point of having DBTW</w:t>
            </w:r>
            <w:r w:rsidR="005C3076">
              <w:rPr>
                <w:rFonts w:ascii="Times New Roman" w:eastAsia="MS Mincho" w:hAnsi="Times New Roman"/>
                <w:sz w:val="22"/>
                <w:szCs w:val="22"/>
                <w:lang w:eastAsia="ja-JP"/>
              </w:rPr>
              <w:t>, and that’s why we don’t support it</w:t>
            </w:r>
            <w:r w:rsidR="0077781A">
              <w:rPr>
                <w:rFonts w:ascii="Times New Roman" w:eastAsia="MS Mincho" w:hAnsi="Times New Roman"/>
                <w:sz w:val="22"/>
                <w:szCs w:val="22"/>
                <w:lang w:eastAsia="ja-JP"/>
              </w:rPr>
              <w:t>.</w:t>
            </w:r>
          </w:p>
          <w:p w14:paraId="3E5D90D8" w14:textId="63AA0C8E" w:rsidR="00AF5D37" w:rsidRDefault="00AF5D37"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w:t>
            </w:r>
            <w:r w:rsidR="00F01407" w:rsidRPr="00A352D6">
              <w:rPr>
                <w:rFonts w:ascii="Times New Roman" w:eastAsia="MS Mincho" w:hAnsi="Times New Roman"/>
                <w:sz w:val="22"/>
                <w:szCs w:val="22"/>
                <w:lang w:eastAsia="ja-JP"/>
              </w:rPr>
              <w:t>Proposal 1.1-5C)</w:t>
            </w:r>
            <w:r w:rsidR="00F01407">
              <w:rPr>
                <w:rFonts w:ascii="Times New Roman" w:eastAsia="MS Mincho" w:hAnsi="Times New Roman"/>
                <w:sz w:val="22"/>
                <w:szCs w:val="22"/>
                <w:lang w:eastAsia="ja-JP"/>
              </w:rPr>
              <w:t xml:space="preserve"> still allows </w:t>
            </w:r>
            <w:r w:rsidR="0003371E">
              <w:rPr>
                <w:rFonts w:ascii="Times New Roman" w:eastAsia="MS Mincho" w:hAnsi="Times New Roman"/>
                <w:sz w:val="22"/>
                <w:szCs w:val="22"/>
                <w:lang w:eastAsia="ja-JP"/>
              </w:rPr>
              <w:t xml:space="preserve">having </w:t>
            </w:r>
            <w:r w:rsidR="00F01407">
              <w:rPr>
                <w:rFonts w:ascii="Times New Roman" w:eastAsia="MS Mincho" w:hAnsi="Times New Roman"/>
                <w:sz w:val="22"/>
                <w:szCs w:val="22"/>
                <w:lang w:eastAsia="ja-JP"/>
              </w:rPr>
              <w:t>gaps</w:t>
            </w:r>
            <w:r w:rsidR="00985AB4">
              <w:rPr>
                <w:rFonts w:ascii="Times New Roman" w:eastAsia="MS Mincho" w:hAnsi="Times New Roman"/>
                <w:sz w:val="22"/>
                <w:szCs w:val="22"/>
                <w:lang w:eastAsia="ja-JP"/>
              </w:rPr>
              <w:t xml:space="preserve">. </w:t>
            </w:r>
            <w:r w:rsidR="00DD7321">
              <w:rPr>
                <w:rFonts w:ascii="Times New Roman" w:eastAsia="MS Mincho" w:hAnsi="Times New Roman"/>
                <w:sz w:val="22"/>
                <w:szCs w:val="22"/>
                <w:lang w:eastAsia="ja-JP"/>
              </w:rPr>
              <w:t xml:space="preserve">If </w:t>
            </w:r>
            <w:r w:rsidR="00C15777">
              <w:rPr>
                <w:rFonts w:ascii="Times New Roman" w:eastAsia="MS Mincho" w:hAnsi="Times New Roman"/>
                <w:sz w:val="22"/>
                <w:szCs w:val="22"/>
                <w:lang w:eastAsia="ja-JP"/>
              </w:rPr>
              <w:t>gNB is aware about high-priority UL traffic</w:t>
            </w:r>
            <w:r w:rsidR="0003371E">
              <w:rPr>
                <w:rFonts w:ascii="Times New Roman" w:eastAsia="MS Mincho" w:hAnsi="Times New Roman"/>
                <w:sz w:val="22"/>
                <w:szCs w:val="22"/>
                <w:lang w:eastAsia="ja-JP"/>
              </w:rPr>
              <w:t xml:space="preserve"> for </w:t>
            </w:r>
            <w:r w:rsidR="0063775A">
              <w:rPr>
                <w:rFonts w:ascii="Times New Roman" w:eastAsia="MS Mincho" w:hAnsi="Times New Roman"/>
                <w:sz w:val="22"/>
                <w:szCs w:val="22"/>
                <w:lang w:eastAsia="ja-JP"/>
              </w:rPr>
              <w:t>UE</w:t>
            </w:r>
            <w:r w:rsidR="00C15777">
              <w:rPr>
                <w:rFonts w:ascii="Times New Roman" w:eastAsia="MS Mincho" w:hAnsi="Times New Roman"/>
                <w:sz w:val="22"/>
                <w:szCs w:val="22"/>
                <w:lang w:eastAsia="ja-JP"/>
              </w:rPr>
              <w:t>, it alwa</w:t>
            </w:r>
            <w:r w:rsidR="00872353">
              <w:rPr>
                <w:rFonts w:ascii="Times New Roman" w:eastAsia="MS Mincho" w:hAnsi="Times New Roman"/>
                <w:sz w:val="22"/>
                <w:szCs w:val="22"/>
                <w:lang w:eastAsia="ja-JP"/>
              </w:rPr>
              <w:t>ys can de-prioritize transmission of SSB candidate</w:t>
            </w:r>
            <w:r w:rsidR="004B7621">
              <w:rPr>
                <w:rFonts w:ascii="Times New Roman" w:eastAsia="MS Mincho" w:hAnsi="Times New Roman"/>
                <w:sz w:val="22"/>
                <w:szCs w:val="22"/>
                <w:lang w:eastAsia="ja-JP"/>
              </w:rPr>
              <w:t>, doesn’t it? For other UEs it would look like LBT event</w:t>
            </w:r>
            <w:r w:rsidR="007A4C0F">
              <w:rPr>
                <w:rFonts w:ascii="Times New Roman" w:eastAsia="MS Mincho" w:hAnsi="Times New Roman"/>
                <w:sz w:val="22"/>
                <w:szCs w:val="22"/>
                <w:lang w:eastAsia="ja-JP"/>
              </w:rPr>
              <w:t>.</w:t>
            </w:r>
          </w:p>
          <w:p w14:paraId="3ADE519B" w14:textId="53BEFF3E" w:rsidR="00C7431A" w:rsidRDefault="00C7431A" w:rsidP="0087421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w:t>
            </w:r>
            <w:r w:rsidR="0086186A">
              <w:rPr>
                <w:rFonts w:ascii="Times New Roman" w:eastAsia="MS Mincho" w:hAnsi="Times New Roman"/>
                <w:sz w:val="22"/>
                <w:szCs w:val="22"/>
                <w:lang w:eastAsia="ja-JP"/>
              </w:rPr>
              <w:t xml:space="preserve">commented previously, </w:t>
            </w:r>
            <w:r w:rsidR="0087421B">
              <w:rPr>
                <w:rFonts w:ascii="Times New Roman" w:eastAsia="MS Mincho" w:hAnsi="Times New Roman"/>
                <w:sz w:val="22"/>
                <w:szCs w:val="22"/>
                <w:lang w:eastAsia="ja-JP"/>
              </w:rPr>
              <w:t>u</w:t>
            </w:r>
            <w:r w:rsidR="0086186A" w:rsidRPr="0086186A">
              <w:rPr>
                <w:rFonts w:ascii="Times New Roman" w:eastAsia="MS Mincho" w:hAnsi="Times New Roman"/>
                <w:sz w:val="22"/>
                <w:szCs w:val="22"/>
                <w:lang w:eastAsia="ja-JP"/>
              </w:rPr>
              <w:t xml:space="preserve">sing a MIB bit to indicate the extra candidate SSB index, e.g., the </w:t>
            </w:r>
            <w:r w:rsidR="0086186A" w:rsidRPr="007B44AC">
              <w:rPr>
                <w:rFonts w:ascii="Times New Roman" w:eastAsia="MS Mincho" w:hAnsi="Times New Roman"/>
                <w:i/>
                <w:iCs/>
                <w:sz w:val="22"/>
                <w:szCs w:val="22"/>
                <w:lang w:eastAsia="ja-JP"/>
              </w:rPr>
              <w:t>subCarrierSpacingCommon</w:t>
            </w:r>
            <w:r w:rsidR="0086186A" w:rsidRPr="0086186A">
              <w:rPr>
                <w:rFonts w:ascii="Times New Roman" w:eastAsia="MS Mincho" w:hAnsi="Times New Roman"/>
                <w:sz w:val="22"/>
                <w:szCs w:val="22"/>
                <w:lang w:eastAsia="ja-JP"/>
              </w:rPr>
              <w:t xml:space="preserve"> bit</w:t>
            </w:r>
            <w:r w:rsidR="0087421B">
              <w:rPr>
                <w:rFonts w:ascii="Times New Roman" w:eastAsia="MS Mincho" w:hAnsi="Times New Roman"/>
                <w:sz w:val="22"/>
                <w:szCs w:val="22"/>
                <w:lang w:eastAsia="ja-JP"/>
              </w:rPr>
              <w:t>, would not require</w:t>
            </w:r>
            <w:r w:rsidR="0086186A" w:rsidRPr="0086186A">
              <w:rPr>
                <w:rFonts w:ascii="Times New Roman" w:eastAsia="MS Mincho" w:hAnsi="Times New Roman"/>
                <w:sz w:val="22"/>
                <w:szCs w:val="22"/>
                <w:lang w:eastAsia="ja-JP"/>
              </w:rPr>
              <w:t xml:space="preserve"> changes for the low-level processing of SSB and the MIB does not change more often than 80 ms for the SSBs with the same candidate index.</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1.1-3D) – cleaned up</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1.1-6B) – cleaned up</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r w:rsidR="006C5864" w14:paraId="5EC0AA8D" w14:textId="77777777">
        <w:tc>
          <w:tcPr>
            <w:tcW w:w="2065" w:type="dxa"/>
          </w:tcPr>
          <w:p w14:paraId="4D77AB7B" w14:textId="2BDD20A9" w:rsidR="006C5864" w:rsidRDefault="006C5864"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7777BDE4" w14:textId="77777777" w:rsidR="006C5864" w:rsidRDefault="00687555"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 with moderator observation.</w:t>
            </w:r>
          </w:p>
          <w:p w14:paraId="02FA7E01" w14:textId="779DF0A5" w:rsidR="00687555" w:rsidRDefault="00687555"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difference for DBTW indication in MIB versus in SIB1 is non-existent in our opinion. </w:t>
            </w:r>
            <w:r w:rsidR="007B1902">
              <w:rPr>
                <w:rFonts w:ascii="Times New Roman" w:eastAsia="MS Mincho" w:hAnsi="Times New Roman"/>
                <w:sz w:val="22"/>
                <w:szCs w:val="22"/>
                <w:lang w:eastAsia="ja-JP"/>
              </w:rPr>
              <w:t xml:space="preserve">The only potential difference is some extra Type0-PDCCH blind decoding during initial access before SIB1 indication. During this phase the UE is not monitoring any other PDCCH, and the monitoring is going to be limited to few </w:t>
            </w:r>
            <w:r w:rsidR="00DA76E4">
              <w:rPr>
                <w:rFonts w:ascii="Times New Roman" w:eastAsia="MS Mincho" w:hAnsi="Times New Roman"/>
                <w:sz w:val="22"/>
                <w:szCs w:val="22"/>
                <w:lang w:eastAsia="ja-JP"/>
              </w:rPr>
              <w:t>more every 20msec. We think this is the type of optimization that RAN1 should avoid, where the supported UE functionality does not change and has minimal and nearly zero impact to UE.</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gNB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77777777" w:rsidR="00C231B8" w:rsidRDefault="00C231B8">
      <w:pPr>
        <w:pStyle w:val="BodyText"/>
        <w:spacing w:after="0"/>
        <w:rPr>
          <w:rFonts w:ascii="Times New Roman" w:hAnsi="Times New Roman"/>
          <w:sz w:val="22"/>
          <w:szCs w:val="22"/>
          <w:lang w:eastAsia="zh-CN"/>
        </w:rPr>
      </w:pPr>
    </w:p>
    <w:p w14:paraId="3962A5A2" w14:textId="77777777" w:rsidR="00C231B8" w:rsidRDefault="00C231B8">
      <w:pPr>
        <w:pStyle w:val="BodyText"/>
        <w:spacing w:after="0"/>
        <w:rPr>
          <w:rFonts w:ascii="Times New Roman" w:hAnsi="Times New Roman"/>
          <w:sz w:val="22"/>
          <w:szCs w:val="22"/>
          <w:lang w:eastAsia="zh-CN"/>
        </w:rPr>
      </w:pPr>
    </w:p>
    <w:p w14:paraId="3962A5A3" w14:textId="77777777" w:rsidR="00C231B8" w:rsidRDefault="00C231B8">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3962A633" w14:textId="77777777" w:rsidR="00C231B8" w:rsidRDefault="00350025">
      <w:pPr>
        <w:pStyle w:val="Heading4"/>
        <w:rPr>
          <w:lang w:eastAsia="zh-CN"/>
        </w:rPr>
      </w:pPr>
      <w:r>
        <w:rPr>
          <w:lang w:eastAsia="zh-CN"/>
        </w:rPr>
        <w:t>Summary of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9">
          <v:shape id="_x0000_i1042" type="#_x0000_t75" style="width:438pt;height:56.4pt" o:ole="">
            <v:imagedata r:id="rId23" o:title=""/>
          </v:shape>
          <o:OLEObject Type="Embed" ProgID="Visio.Drawing.15" ShapeID="_x0000_i1042" DrawAspect="Content" ObjectID="_1691413518"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A">
          <v:shape id="_x0000_i1043" type="#_x0000_t75" style="width:438pt;height:56.4pt" o:ole="">
            <v:imagedata r:id="rId25" o:title=""/>
          </v:shape>
          <o:OLEObject Type="Embed" ProgID="Visio.Drawing.15" ShapeID="_x0000_i1043" DrawAspect="Content" ObjectID="_1691413519"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B">
          <v:shape id="_x0000_i1044" type="#_x0000_t75" style="width:438pt;height:56.4pt" o:ole="">
            <v:imagedata r:id="rId27" o:title=""/>
          </v:shape>
          <o:OLEObject Type="Embed" ProgID="Visio.Drawing.15" ShapeID="_x0000_i1044" DrawAspect="Content" ObjectID="_1691413520"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010" w14:anchorId="3962B5DC">
          <v:shape id="_x0000_i1045" type="#_x0000_t75" style="width:438pt;height:50.4pt" o:ole="">
            <v:imagedata r:id="rId29" o:title=""/>
          </v:shape>
          <o:OLEObject Type="Embed" ProgID="Visio.Drawing.15" ShapeID="_x0000_i1045" DrawAspect="Content" ObjectID="_1691413521"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BodyText"/>
              <w:spacing w:after="0"/>
              <w:rPr>
                <w:rFonts w:ascii="Times New Roman" w:hAnsi="Times New Roman"/>
                <w:sz w:val="22"/>
                <w:szCs w:val="22"/>
                <w:lang w:eastAsia="zh-CN"/>
              </w:rPr>
            </w:pPr>
            <w:r>
              <w:rPr>
                <w:noProof/>
                <w:lang w:eastAsia="zh-CN"/>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lang w:eastAsia="zh-CN"/>
              </w:rPr>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1">
          <v:shape id="_x0000_i1046" type="#_x0000_t75" style="width:438pt;height:56.4pt" o:ole="">
            <v:imagedata r:id="rId23" o:title=""/>
          </v:shape>
          <o:OLEObject Type="Embed" ProgID="Visio.Drawing.15" ShapeID="_x0000_i1046" DrawAspect="Content" ObjectID="_1691413522"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2">
          <v:shape id="_x0000_i1047" type="#_x0000_t75" style="width:438pt;height:56.4pt" o:ole="">
            <v:imagedata r:id="rId23" o:title=""/>
          </v:shape>
          <o:OLEObject Type="Embed" ProgID="Visio.Drawing.15" ShapeID="_x0000_i1047" DrawAspect="Content" ObjectID="_1691413523"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C7DEC2"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C7DEC2"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C7DEC2" w:themeFill="background1"/>
          </w:tcPr>
          <w:p w14:paraId="3962A75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C7DEC2"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C7DEC2"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C7DEC2"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C7DEC2" w:themeFill="background1"/>
          </w:tcPr>
          <w:p w14:paraId="3962A76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C7DEC2"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3">
          <v:shape id="_x0000_i1048" type="#_x0000_t75" style="width:438pt;height:56.4pt" o:ole="">
            <v:imagedata r:id="rId23" o:title=""/>
          </v:shape>
          <o:OLEObject Type="Embed" ProgID="Visio.Drawing.15" ShapeID="_x0000_i1048" DrawAspect="Content" ObjectID="_1691413524"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C231B8" w14:paraId="3962A7E5" w14:textId="77777777">
        <w:tc>
          <w:tcPr>
            <w:tcW w:w="2065" w:type="dxa"/>
          </w:tcPr>
          <w:p w14:paraId="3962A7E3" w14:textId="2FD1EC74" w:rsidR="00C231B8" w:rsidRDefault="00466F7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7AE676C6" w14:textId="77777777" w:rsidR="00C231B8" w:rsidRDefault="00936C5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r w:rsidR="009C49A1">
              <w:rPr>
                <w:rFonts w:ascii="Times New Roman" w:eastAsiaTheme="minorEastAsia" w:hAnsi="Times New Roman"/>
                <w:sz w:val="22"/>
                <w:szCs w:val="22"/>
                <w:lang w:eastAsia="ko-KR"/>
              </w:rPr>
              <w:t>.</w:t>
            </w:r>
          </w:p>
          <w:p w14:paraId="7028E361" w14:textId="66EBC459" w:rsidR="009C49A1" w:rsidRDefault="009C49A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Below is </w:t>
            </w:r>
            <w:r w:rsidR="007E29F3">
              <w:rPr>
                <w:rFonts w:ascii="Times New Roman" w:eastAsiaTheme="minorEastAsia" w:hAnsi="Times New Roman"/>
                <w:sz w:val="22"/>
                <w:szCs w:val="22"/>
                <w:lang w:eastAsia="ko-KR"/>
              </w:rPr>
              <w:t>the citation of the agreement made by RAN plenary about SCS 480 kHz for SSB:</w:t>
            </w:r>
          </w:p>
          <w:p w14:paraId="67BDC8C9" w14:textId="77777777" w:rsidR="00AC5FDC" w:rsidRPr="00DD056C" w:rsidRDefault="00AC5FDC" w:rsidP="00AC5FDC">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76CCA820" w14:textId="77777777" w:rsidR="00AC5FDC" w:rsidRPr="00DD056C" w:rsidRDefault="00AC5FDC" w:rsidP="00AC5FDC">
            <w:pPr>
              <w:numPr>
                <w:ilvl w:val="2"/>
                <w:numId w:val="31"/>
              </w:numPr>
              <w:spacing w:after="0" w:line="240" w:lineRule="auto"/>
              <w:rPr>
                <w:lang w:eastAsia="zh-CN"/>
              </w:rPr>
            </w:pPr>
            <w:r w:rsidRPr="00DD056C">
              <w:rPr>
                <w:lang w:eastAsia="zh-CN"/>
              </w:rPr>
              <w:t>Limited sync raster entry numbers</w:t>
            </w:r>
          </w:p>
          <w:p w14:paraId="245ABD0D" w14:textId="77777777" w:rsidR="00AC5FDC" w:rsidRPr="00DD056C" w:rsidRDefault="00AC5FDC" w:rsidP="00AC5FDC">
            <w:pPr>
              <w:numPr>
                <w:ilvl w:val="3"/>
                <w:numId w:val="31"/>
              </w:numPr>
              <w:spacing w:after="0" w:line="240" w:lineRule="auto"/>
              <w:rPr>
                <w:lang w:eastAsia="zh-CN"/>
              </w:rPr>
            </w:pPr>
            <w:r w:rsidRPr="00DD056C">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48136514" w14:textId="77777777" w:rsidR="00AC5FDC" w:rsidRPr="00DD056C" w:rsidRDefault="00AC5FDC" w:rsidP="00AC5FDC">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2B198370" w14:textId="77777777" w:rsidR="00AC5FDC" w:rsidRPr="00DD056C" w:rsidRDefault="00AC5FDC" w:rsidP="00AC5FDC">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0CD42AFE" w14:textId="77777777" w:rsidR="00AC5FDC" w:rsidRPr="00DD056C" w:rsidRDefault="00AC5FDC" w:rsidP="00AC5FDC">
            <w:pPr>
              <w:numPr>
                <w:ilvl w:val="2"/>
                <w:numId w:val="31"/>
              </w:numPr>
              <w:spacing w:after="0" w:line="240" w:lineRule="auto"/>
              <w:rPr>
                <w:lang w:eastAsia="zh-CN"/>
              </w:rPr>
            </w:pPr>
            <w:r w:rsidRPr="00DD056C">
              <w:rPr>
                <w:lang w:eastAsia="zh-CN"/>
              </w:rPr>
              <w:t>960 kHz numerology for the SSB is not supported by the UE for initial access in Rel-17.</w:t>
            </w:r>
          </w:p>
          <w:p w14:paraId="42821ACE" w14:textId="77777777" w:rsidR="00AC5FDC" w:rsidRPr="00AC5FDC" w:rsidRDefault="00AC5FDC" w:rsidP="00AC5FDC">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144B2416" w14:textId="77777777" w:rsidR="00AC5FDC" w:rsidRPr="000E67F0" w:rsidRDefault="00AC5FDC" w:rsidP="00AC5FDC">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21B40BE7" w14:textId="77777777" w:rsidR="00AC5FDC" w:rsidRDefault="00AC5FDC" w:rsidP="00AC5FDC">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7DD8697D" w14:textId="2D5D6563" w:rsidR="00AC5FDC" w:rsidRDefault="00B76B3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NOTE says that </w:t>
            </w:r>
            <w:r w:rsidR="00590C29">
              <w:rPr>
                <w:rFonts w:ascii="Times New Roman" w:eastAsiaTheme="minorEastAsia" w:hAnsi="Times New Roman"/>
                <w:sz w:val="22"/>
                <w:szCs w:val="22"/>
                <w:lang w:eastAsia="ko-KR"/>
              </w:rPr>
              <w:t xml:space="preserve">minimization of specification efforts should be achieved by </w:t>
            </w:r>
            <w:r w:rsidR="00F33AE0">
              <w:rPr>
                <w:rFonts w:ascii="Times New Roman" w:eastAsiaTheme="minorEastAsia" w:hAnsi="Times New Roman"/>
                <w:sz w:val="22"/>
                <w:szCs w:val="22"/>
                <w:lang w:eastAsia="ko-KR"/>
              </w:rPr>
              <w:t>reusing CORESET#0 configuration tables. It says NOTHING about reusing SSB patterns</w:t>
            </w:r>
            <w:r w:rsidR="00406178">
              <w:rPr>
                <w:rFonts w:ascii="Times New Roman" w:eastAsiaTheme="minorEastAsia" w:hAnsi="Times New Roman"/>
                <w:sz w:val="22"/>
                <w:szCs w:val="22"/>
                <w:lang w:eastAsia="ko-KR"/>
              </w:rPr>
              <w:t>. Moreover, Alt.2 allows reus</w:t>
            </w:r>
            <w:r w:rsidR="004674CF">
              <w:rPr>
                <w:rFonts w:ascii="Times New Roman" w:eastAsiaTheme="minorEastAsia" w:hAnsi="Times New Roman"/>
                <w:sz w:val="22"/>
                <w:szCs w:val="22"/>
                <w:lang w:eastAsia="ko-KR"/>
              </w:rPr>
              <w:t>ing</w:t>
            </w:r>
            <w:r w:rsidR="00406178">
              <w:rPr>
                <w:rFonts w:ascii="Times New Roman" w:eastAsiaTheme="minorEastAsia" w:hAnsi="Times New Roman"/>
                <w:sz w:val="22"/>
                <w:szCs w:val="22"/>
                <w:lang w:eastAsia="ko-KR"/>
              </w:rPr>
              <w:t xml:space="preserve"> CORESET#0 </w:t>
            </w:r>
            <w:r w:rsidR="00E32448">
              <w:rPr>
                <w:rFonts w:ascii="Times New Roman" w:eastAsiaTheme="minorEastAsia" w:hAnsi="Times New Roman"/>
                <w:sz w:val="22"/>
                <w:szCs w:val="22"/>
                <w:lang w:eastAsia="ko-KR"/>
              </w:rPr>
              <w:t xml:space="preserve">configurations, therefore, it is fully </w:t>
            </w:r>
            <w:r w:rsidR="00C46A43">
              <w:rPr>
                <w:rFonts w:ascii="Times New Roman" w:eastAsiaTheme="minorEastAsia" w:hAnsi="Times New Roman"/>
                <w:sz w:val="22"/>
                <w:szCs w:val="22"/>
                <w:lang w:eastAsia="ko-KR"/>
              </w:rPr>
              <w:t>compliant with the agreement of RAN plenary.</w:t>
            </w:r>
          </w:p>
          <w:p w14:paraId="7CB13B08" w14:textId="1AA30D0C" w:rsidR="00C9289A" w:rsidRDefault="00C9289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specification impact from </w:t>
            </w:r>
            <w:r w:rsidR="00C869BD">
              <w:rPr>
                <w:rFonts w:ascii="Times New Roman" w:eastAsiaTheme="minorEastAsia" w:hAnsi="Times New Roman"/>
                <w:sz w:val="22"/>
                <w:szCs w:val="22"/>
                <w:lang w:eastAsia="ko-KR"/>
              </w:rPr>
              <w:t xml:space="preserve">X=9 is completely identical as X = 8. At the same time, X=9 clear provides all the functionality that X=8 can provide and </w:t>
            </w:r>
            <w:r w:rsidR="006210E7">
              <w:rPr>
                <w:rFonts w:ascii="Times New Roman" w:eastAsiaTheme="minorEastAsia" w:hAnsi="Times New Roman"/>
                <w:sz w:val="22"/>
                <w:szCs w:val="22"/>
                <w:lang w:eastAsia="ko-KR"/>
              </w:rPr>
              <w:t>provide more benefits.</w:t>
            </w:r>
          </w:p>
          <w:p w14:paraId="7C383D8D" w14:textId="1E0E238F" w:rsidR="006210E7" w:rsidRDefault="006210E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t>
            </w:r>
            <w:r w:rsidR="00E64E06">
              <w:rPr>
                <w:rFonts w:ascii="Times New Roman" w:eastAsiaTheme="minorEastAsia" w:hAnsi="Times New Roman"/>
                <w:sz w:val="22"/>
                <w:szCs w:val="22"/>
                <w:lang w:eastAsia="ko-KR"/>
              </w:rPr>
              <w:t xml:space="preserve">we don’t quite understand what is the benefit other than pattern looks similar. </w:t>
            </w:r>
            <w:r w:rsidR="007E4320">
              <w:rPr>
                <w:rFonts w:ascii="Times New Roman" w:eastAsiaTheme="minorEastAsia" w:hAnsi="Times New Roman"/>
                <w:sz w:val="22"/>
                <w:szCs w:val="22"/>
                <w:lang w:eastAsia="ko-KR"/>
              </w:rPr>
              <w:t>From implementation perspective, any changes to SCS will mean implementation will need to change.</w:t>
            </w:r>
            <w:r w:rsidR="008357A2">
              <w:rPr>
                <w:rFonts w:ascii="Times New Roman" w:eastAsiaTheme="minorEastAsia" w:hAnsi="Times New Roman"/>
                <w:sz w:val="22"/>
                <w:szCs w:val="22"/>
                <w:lang w:eastAsia="ko-KR"/>
              </w:rPr>
              <w:t xml:space="preserve"> </w:t>
            </w:r>
          </w:p>
          <w:p w14:paraId="3962A7E4" w14:textId="45307C99" w:rsidR="007E29F3" w:rsidRDefault="007E29F3">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77777777" w:rsidR="00C231B8" w:rsidRDefault="00C231B8">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2F6C8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2F6C8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2F6C8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2F6C8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2F6C8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2F6C8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3962A846" w14:textId="77777777" w:rsidR="00C231B8" w:rsidRDefault="00350025">
      <w:pPr>
        <w:pStyle w:val="Heading4"/>
        <w:rPr>
          <w:lang w:eastAsia="zh-CN"/>
        </w:rPr>
      </w:pPr>
      <w:r>
        <w:rPr>
          <w:lang w:eastAsia="zh-CN"/>
        </w:rPr>
        <w:t>Summary of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ZTE/Sanechips</w:t>
      </w:r>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C7DEC2"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C7DEC2"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C7DEC2"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C7DEC2"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C7DEC2"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C7DEC2"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C7DEC2"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C7DEC2"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C7DEC2"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C7DEC2"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C7DEC2"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C7DEC2"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C7DEC2"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C7DEC2"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C7DEC2" w:themeFill="background1"/>
          </w:tcPr>
          <w:p w14:paraId="3962AB7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C7DEC2"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C7DEC2"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C7DEC2"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C7DEC2"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C7DEC2"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C7DEC2"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C7DEC2"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C7DEC2"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C7DEC2"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C7DEC2"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C7DEC2"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BD5"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1.3-2C)</w:t>
      </w:r>
    </w:p>
    <w:p w14:paraId="3962AD19"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77777777" w:rsidR="00981D2C" w:rsidRDefault="00981D2C" w:rsidP="00981D2C">
      <w:pPr>
        <w:pStyle w:val="Heading5"/>
        <w:rPr>
          <w:rFonts w:ascii="Times New Roman" w:hAnsi="Times New Roman"/>
          <w:b/>
          <w:bCs/>
          <w:lang w:eastAsia="zh-CN"/>
        </w:rPr>
      </w:pPr>
      <w:r>
        <w:rPr>
          <w:rFonts w:ascii="Times New Roman" w:hAnsi="Times New Roman"/>
          <w:b/>
          <w:bCs/>
          <w:lang w:eastAsia="zh-CN"/>
        </w:rPr>
        <w:t>Proposal 1.3-3B)</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664877">
        <w:trPr>
          <w:cantSplit/>
        </w:trPr>
        <w:tc>
          <w:tcPr>
            <w:tcW w:w="3326" w:type="dxa"/>
            <w:tcBorders>
              <w:bottom w:val="double" w:sz="4" w:space="0" w:color="auto"/>
            </w:tcBorders>
            <w:shd w:val="clear" w:color="auto" w:fill="E0E0E0"/>
            <w:vAlign w:val="center"/>
          </w:tcPr>
          <w:p w14:paraId="30E0C4AA" w14:textId="77777777" w:rsidR="00981D2C" w:rsidRDefault="00981D2C" w:rsidP="00664877">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664877">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664877">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664877">
        <w:trPr>
          <w:cantSplit/>
        </w:trPr>
        <w:tc>
          <w:tcPr>
            <w:tcW w:w="3326" w:type="dxa"/>
            <w:tcBorders>
              <w:top w:val="double" w:sz="4" w:space="0" w:color="auto"/>
            </w:tcBorders>
            <w:vAlign w:val="center"/>
          </w:tcPr>
          <w:p w14:paraId="5315EB36" w14:textId="77777777" w:rsidR="00981D2C" w:rsidRDefault="00981D2C" w:rsidP="00664877">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664877">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664877">
            <w:pPr>
              <w:pStyle w:val="TAC"/>
            </w:pPr>
            <w:r>
              <w:rPr>
                <w:rStyle w:val="CommentReference"/>
                <w:rFonts w:cs="Arial"/>
                <w:szCs w:val="18"/>
              </w:rPr>
              <w:t>0</w:t>
            </w:r>
          </w:p>
        </w:tc>
      </w:tr>
      <w:tr w:rsidR="00981D2C" w14:paraId="16F0EBCB" w14:textId="77777777" w:rsidTr="00664877">
        <w:trPr>
          <w:cantSplit/>
        </w:trPr>
        <w:tc>
          <w:tcPr>
            <w:tcW w:w="3326" w:type="dxa"/>
            <w:vAlign w:val="center"/>
          </w:tcPr>
          <w:p w14:paraId="1499EB58" w14:textId="77777777" w:rsidR="00981D2C" w:rsidRDefault="00981D2C" w:rsidP="00664877">
            <w:pPr>
              <w:pStyle w:val="TAC"/>
            </w:pPr>
            <w:r>
              <w:rPr>
                <w:rStyle w:val="CommentReference"/>
                <w:rFonts w:cs="Arial"/>
                <w:szCs w:val="18"/>
              </w:rPr>
              <w:t>2</w:t>
            </w:r>
          </w:p>
        </w:tc>
        <w:tc>
          <w:tcPr>
            <w:tcW w:w="904" w:type="dxa"/>
            <w:vAlign w:val="center"/>
          </w:tcPr>
          <w:p w14:paraId="6FE65207" w14:textId="77777777" w:rsidR="00981D2C" w:rsidRDefault="00981D2C" w:rsidP="00664877">
            <w:pPr>
              <w:pStyle w:val="TAC"/>
            </w:pPr>
            <w:r>
              <w:rPr>
                <w:rStyle w:val="CommentReference"/>
                <w:rFonts w:cs="Arial"/>
                <w:szCs w:val="18"/>
              </w:rPr>
              <w:t>1/2</w:t>
            </w:r>
          </w:p>
        </w:tc>
        <w:tc>
          <w:tcPr>
            <w:tcW w:w="3426" w:type="dxa"/>
            <w:vAlign w:val="center"/>
          </w:tcPr>
          <w:p w14:paraId="71E5C62F" w14:textId="77777777" w:rsidR="00981D2C" w:rsidRDefault="00981D2C" w:rsidP="00664877">
            <w:pPr>
              <w:pStyle w:val="TAC"/>
            </w:pPr>
            <w:r>
              <w:rPr>
                <w:rStyle w:val="CommentReference"/>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664877">
        <w:trPr>
          <w:cantSplit/>
        </w:trPr>
        <w:tc>
          <w:tcPr>
            <w:tcW w:w="3326" w:type="dxa"/>
            <w:vAlign w:val="center"/>
          </w:tcPr>
          <w:p w14:paraId="339281D2" w14:textId="77777777" w:rsidR="00981D2C" w:rsidRPr="00932D74" w:rsidRDefault="00981D2C" w:rsidP="00664877">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664877">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664877">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664877">
        <w:trPr>
          <w:cantSplit/>
        </w:trPr>
        <w:tc>
          <w:tcPr>
            <w:tcW w:w="3326" w:type="dxa"/>
            <w:vAlign w:val="center"/>
          </w:tcPr>
          <w:p w14:paraId="257EABF2" w14:textId="77777777" w:rsidR="00981D2C" w:rsidRDefault="00981D2C" w:rsidP="00664877">
            <w:pPr>
              <w:pStyle w:val="TAC"/>
            </w:pPr>
            <w:r>
              <w:rPr>
                <w:rStyle w:val="CommentReference"/>
                <w:rFonts w:cs="Arial"/>
                <w:szCs w:val="18"/>
              </w:rPr>
              <w:t>1</w:t>
            </w:r>
          </w:p>
        </w:tc>
        <w:tc>
          <w:tcPr>
            <w:tcW w:w="904" w:type="dxa"/>
            <w:vAlign w:val="center"/>
          </w:tcPr>
          <w:p w14:paraId="07973749" w14:textId="77777777" w:rsidR="00981D2C" w:rsidRDefault="00981D2C" w:rsidP="00664877">
            <w:pPr>
              <w:pStyle w:val="TAC"/>
            </w:pPr>
            <w:r>
              <w:rPr>
                <w:rStyle w:val="CommentReference"/>
                <w:rFonts w:cs="Arial"/>
                <w:szCs w:val="18"/>
              </w:rPr>
              <w:t>2</w:t>
            </w:r>
          </w:p>
        </w:tc>
        <w:tc>
          <w:tcPr>
            <w:tcW w:w="3426" w:type="dxa"/>
            <w:vAlign w:val="center"/>
          </w:tcPr>
          <w:p w14:paraId="4F30B33A" w14:textId="77777777" w:rsidR="00981D2C" w:rsidRDefault="00981D2C" w:rsidP="00664877">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Default="00932D74" w:rsidP="00932D74">
      <w:pPr>
        <w:pStyle w:val="Heading5"/>
        <w:rPr>
          <w:rFonts w:ascii="Times New Roman" w:hAnsi="Times New Roman"/>
          <w:b/>
          <w:bCs/>
          <w:szCs w:val="22"/>
          <w:lang w:eastAsia="zh-CN"/>
        </w:rPr>
      </w:pPr>
      <w:r>
        <w:rPr>
          <w:rFonts w:ascii="Times New Roman" w:hAnsi="Times New Roman"/>
          <w:b/>
          <w:bCs/>
          <w:szCs w:val="22"/>
          <w:lang w:eastAsia="zh-CN"/>
        </w:rPr>
        <w:t>Proposal 1.3-1A)</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357A2" w14:paraId="29C61143" w14:textId="77777777">
        <w:tc>
          <w:tcPr>
            <w:tcW w:w="2065" w:type="dxa"/>
          </w:tcPr>
          <w:p w14:paraId="00EC6EB2" w14:textId="71751912" w:rsidR="008357A2" w:rsidRDefault="008357A2">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095F582B" w14:textId="750123FF" w:rsidR="008357A2" w:rsidRDefault="008357A2">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77777777" w:rsidR="00C231B8" w:rsidRDefault="00C231B8">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3962AD9A" w14:textId="77777777" w:rsidR="00C231B8" w:rsidRDefault="00350025">
      <w:pPr>
        <w:pStyle w:val="Heading4"/>
        <w:rPr>
          <w:lang w:eastAsia="zh-CN"/>
        </w:rPr>
      </w:pPr>
      <w:r>
        <w:rPr>
          <w:lang w:eastAsia="zh-CN"/>
        </w:rPr>
        <w:t>Summary of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962AE39" w14:textId="77777777" w:rsidR="00C231B8" w:rsidRDefault="00350025">
      <w:pPr>
        <w:pStyle w:val="Heading4"/>
        <w:rPr>
          <w:lang w:eastAsia="zh-CN"/>
        </w:rPr>
      </w:pPr>
      <w:r>
        <w:rPr>
          <w:lang w:eastAsia="zh-CN"/>
        </w:rPr>
        <w:t>Summary of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3962AED0" w14:textId="77777777" w:rsidR="00C231B8" w:rsidRDefault="00350025">
      <w:pPr>
        <w:pStyle w:val="Heading4"/>
        <w:rPr>
          <w:lang w:eastAsia="zh-CN"/>
        </w:rPr>
      </w:pPr>
      <w:r>
        <w:rPr>
          <w:lang w:eastAsia="zh-CN"/>
        </w:rPr>
        <w:t>Summary of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C7DEC2"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C7DEC2"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C7DEC2"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C7DEC2"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C7DEC2"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C7DEC2"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C7DEC2"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C7DEC2"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C7DEC2"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C7DEC2"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C7DEC2"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C7DEC2"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B014"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2.1-1A)</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77777777" w:rsidR="00C231B8" w:rsidRDefault="00C231B8">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3962B085" w14:textId="77777777" w:rsidR="00C231B8" w:rsidRDefault="00350025">
      <w:pPr>
        <w:pStyle w:val="Heading4"/>
        <w:rPr>
          <w:lang w:eastAsia="zh-CN"/>
        </w:rPr>
      </w:pPr>
      <w:r>
        <w:rPr>
          <w:lang w:eastAsia="zh-CN"/>
        </w:rPr>
        <w:t>Summary of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2F6C87">
              <w:rPr>
                <w:rFonts w:cs="Times"/>
                <w:position w:val="-5"/>
                <w:szCs w:val="20"/>
              </w:rPr>
              <w:pict w14:anchorId="3962B6B8">
                <v:shape id="_x0000_i1049" type="#_x0000_t75" style="width:14.4pt;height:14.4pt" equationxml="&lt;">
                  <v:imagedata r:id="rId46" o:title="" chromakey="white"/>
                </v:shape>
              </w:pict>
            </w:r>
            <w:r>
              <w:rPr>
                <w:rFonts w:cs="Times"/>
                <w:szCs w:val="20"/>
              </w:rPr>
              <w:instrText xml:space="preserve"> </w:instrText>
            </w:r>
            <w:r>
              <w:rPr>
                <w:rFonts w:cs="Times"/>
                <w:szCs w:val="20"/>
              </w:rPr>
              <w:fldChar w:fldCharType="separate"/>
            </w:r>
            <w:r w:rsidR="002F6C87">
              <w:rPr>
                <w:rFonts w:cs="Times"/>
                <w:position w:val="-5"/>
                <w:szCs w:val="20"/>
              </w:rPr>
              <w:pict w14:anchorId="3962B6B9">
                <v:shape id="_x0000_i1050" type="#_x0000_t75" style="width:14.4pt;height:14.4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2F6C87">
              <w:rPr>
                <w:rFonts w:cs="Times"/>
                <w:position w:val="-5"/>
                <w:szCs w:val="20"/>
              </w:rPr>
              <w:pict w14:anchorId="3962B6BA">
                <v:shape id="_x0000_i1051" type="#_x0000_t75" style="width:21.6pt;height:14.4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2F6C87">
              <w:rPr>
                <w:rFonts w:cs="Times"/>
                <w:position w:val="-5"/>
                <w:szCs w:val="20"/>
              </w:rPr>
              <w:pict w14:anchorId="3962B6BB">
                <v:shape id="_x0000_i1052" type="#_x0000_t75" style="width:21.6pt;height:14.4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F6C87">
        <w:rPr>
          <w:rFonts w:ascii="Times New Roman" w:hAnsi="Times New Roman"/>
          <w:position w:val="-5"/>
          <w:sz w:val="22"/>
          <w:szCs w:val="22"/>
        </w:rPr>
        <w:pict w14:anchorId="3962B6BE">
          <v:shape id="_x0000_i1053"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2F6C87">
        <w:rPr>
          <w:rFonts w:ascii="Times New Roman" w:hAnsi="Times New Roman"/>
          <w:position w:val="-5"/>
          <w:sz w:val="22"/>
          <w:szCs w:val="22"/>
        </w:rPr>
        <w:pict w14:anchorId="3962B6BF">
          <v:shape id="_x0000_i1054"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2F6C87">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124DD4A3"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1 PRACH slot per 60kHz reference slot), Sharp (gap not configured)</w:t>
      </w:r>
    </w:p>
    <w:p w14:paraId="3962B0B2" w14:textId="77777777" w:rsidR="00C231B8" w:rsidRDefault="002F6C87">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2F6C87">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2F6C87">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2F6C87">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F6C87">
              <w:rPr>
                <w:rFonts w:ascii="Times New Roman" w:hAnsi="Times New Roman"/>
                <w:position w:val="-5"/>
                <w:sz w:val="22"/>
                <w:szCs w:val="22"/>
              </w:rPr>
              <w:pict w14:anchorId="3962B6C2">
                <v:shape id="_x0000_i1055"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2F6C87">
              <w:rPr>
                <w:rFonts w:ascii="Times New Roman" w:hAnsi="Times New Roman"/>
                <w:position w:val="-5"/>
                <w:sz w:val="22"/>
                <w:szCs w:val="22"/>
              </w:rPr>
              <w:pict w14:anchorId="3962B6C3">
                <v:shape id="_x0000_i1056"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F6C87">
        <w:rPr>
          <w:rFonts w:ascii="Times New Roman" w:hAnsi="Times New Roman"/>
          <w:position w:val="-5"/>
          <w:sz w:val="22"/>
          <w:szCs w:val="22"/>
        </w:rPr>
        <w:pict w14:anchorId="3962B6C4">
          <v:shape id="_x0000_i1057"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F6C87">
        <w:rPr>
          <w:rFonts w:ascii="Times New Roman" w:hAnsi="Times New Roman"/>
          <w:position w:val="-5"/>
          <w:sz w:val="22"/>
          <w:szCs w:val="22"/>
        </w:rPr>
        <w:pict w14:anchorId="3962B6C5">
          <v:shape id="_x0000_i1058"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F6C87">
        <w:rPr>
          <w:rFonts w:ascii="Times New Roman" w:hAnsi="Times New Roman"/>
          <w:position w:val="-5"/>
          <w:sz w:val="22"/>
          <w:szCs w:val="22"/>
        </w:rPr>
        <w:pict w14:anchorId="3962B6C6">
          <v:shape id="_x0000_i1059"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C7DEC2"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C7DEC2"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C7DEC2"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C7DEC2"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C7DEC2"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C7DEC2"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2F6C87">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C7DEC2"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8437" w:type="dxa"/>
            <w:shd w:val="clear" w:color="auto" w:fill="C7DEC2"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C7DEC2"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C7DEC2"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C7DEC2"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C7DEC2"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C7DEC2"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C7DEC2"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C7DEC2"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C7DEC2"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C7DEC2"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C7DEC2"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C7DEC2"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C7DEC2"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C7DEC2"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C7DEC2"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C7DEC2"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C7DEC2"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C7DEC2"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C7DEC2"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2F6C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2F6C87">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2F6C87">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77777777"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7D749B9B"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26636612" w14:textId="797411A5" w:rsidR="00505E3A" w:rsidRDefault="00505E3A" w:rsidP="00505E3A">
      <w:pPr>
        <w:pStyle w:val="Heading5"/>
        <w:rPr>
          <w:rFonts w:ascii="Times New Roman" w:hAnsi="Times New Roman"/>
          <w:b/>
          <w:bCs/>
          <w:lang w:eastAsia="zh-CN"/>
        </w:rPr>
      </w:pPr>
      <w:r>
        <w:rPr>
          <w:rFonts w:ascii="Times New Roman" w:hAnsi="Times New Roman"/>
          <w:b/>
          <w:bCs/>
          <w:lang w:eastAsia="zh-CN"/>
        </w:rPr>
        <w:t xml:space="preserve">Proposal 2.2-2D)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2F6C87">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Default="003969AE" w:rsidP="003969AE">
      <w:pPr>
        <w:pStyle w:val="Heading5"/>
        <w:rPr>
          <w:rFonts w:ascii="Times New Roman" w:hAnsi="Times New Roman"/>
          <w:b/>
          <w:bCs/>
          <w:lang w:eastAsia="zh-CN"/>
        </w:rPr>
      </w:pPr>
      <w:r>
        <w:rPr>
          <w:rFonts w:ascii="Times New Roman" w:hAnsi="Times New Roman"/>
          <w:b/>
          <w:bCs/>
          <w:lang w:eastAsia="zh-CN"/>
        </w:rPr>
        <w:t>Proposal 2.2-3F)</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2F6C87"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2F6C87">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77777777" w:rsidR="00C231B8" w:rsidRDefault="00C231B8">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2F6C87">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2F6C87">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2F6C87">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2F6C87">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2F6C87">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3962B3F3" w14:textId="77777777" w:rsidR="00C231B8" w:rsidRDefault="00350025">
      <w:pPr>
        <w:pStyle w:val="Heading4"/>
        <w:rPr>
          <w:lang w:eastAsia="zh-CN"/>
        </w:rPr>
      </w:pPr>
      <w:r>
        <w:rPr>
          <w:lang w:eastAsia="zh-CN"/>
        </w:rPr>
        <w:t>Summary of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2F6C87">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2F6C87">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2F6C87">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3962B4B0" w14:textId="77777777" w:rsidR="00C231B8" w:rsidRDefault="00350025">
      <w:pPr>
        <w:pStyle w:val="Heading4"/>
        <w:rPr>
          <w:lang w:eastAsia="zh-CN"/>
        </w:rPr>
      </w:pPr>
      <w:r>
        <w:rPr>
          <w:lang w:eastAsia="zh-CN"/>
        </w:rPr>
        <w:t>Summary of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Others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3962B511" w14:textId="77777777" w:rsidR="00C231B8" w:rsidRDefault="00350025">
      <w:pPr>
        <w:pStyle w:val="Heading4"/>
        <w:rPr>
          <w:lang w:eastAsia="zh-CN"/>
        </w:rPr>
      </w:pPr>
      <w:r>
        <w:rPr>
          <w:lang w:eastAsia="zh-CN"/>
        </w:rPr>
        <w:t>Summary of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962B554" w14:textId="77777777" w:rsidR="00C231B8" w:rsidRPr="002D0015" w:rsidRDefault="00350025">
      <w:pPr>
        <w:pStyle w:val="Heading5"/>
        <w:rPr>
          <w:rFonts w:ascii="Times New Roman" w:hAnsi="Times New Roman"/>
          <w:b/>
          <w:bCs/>
          <w:strike/>
          <w:lang w:eastAsia="zh-CN"/>
        </w:rPr>
      </w:pPr>
      <w:r w:rsidRPr="002D0015">
        <w:rPr>
          <w:rFonts w:ascii="Times New Roman" w:hAnsi="Times New Roman"/>
          <w:b/>
          <w:bCs/>
          <w:strike/>
          <w:highlight w:val="cyan"/>
          <w:lang w:eastAsia="zh-CN"/>
        </w:rPr>
        <w:t>Proposal 1.1-2D)</w:t>
      </w:r>
      <w:r w:rsidRPr="002D0015">
        <w:rPr>
          <w:rFonts w:ascii="Times New Roman" w:hAnsi="Times New Roman"/>
          <w:b/>
          <w:bCs/>
          <w:strike/>
          <w:lang w:eastAsia="zh-CN"/>
        </w:rPr>
        <w:t xml:space="preserve"> </w:t>
      </w:r>
    </w:p>
    <w:p w14:paraId="3962B555" w14:textId="77777777" w:rsidR="00C231B8" w:rsidRPr="002D0015" w:rsidRDefault="00350025">
      <w:pPr>
        <w:pStyle w:val="BodyText"/>
        <w:numPr>
          <w:ilvl w:val="0"/>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No indication for licensed and unlicensed operation in MIB</w:t>
      </w:r>
    </w:p>
    <w:p w14:paraId="3962B556" w14:textId="77777777" w:rsidR="00C231B8" w:rsidRPr="002D0015" w:rsidRDefault="00350025">
      <w:pPr>
        <w:pStyle w:val="BodyText"/>
        <w:numPr>
          <w:ilvl w:val="1"/>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Whether and/or how LBT/No-LBT is indicated is separately discussed</w:t>
      </w:r>
    </w:p>
    <w:p w14:paraId="3962B557" w14:textId="77777777" w:rsidR="00C231B8" w:rsidRPr="002D0015" w:rsidRDefault="00350025">
      <w:pPr>
        <w:pStyle w:val="BodyText"/>
        <w:numPr>
          <w:ilvl w:val="0"/>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Use of LBT is not indicated in MIB.</w:t>
      </w:r>
    </w:p>
    <w:p w14:paraId="3962B558" w14:textId="77777777" w:rsidR="00C231B8" w:rsidRPr="002D0015" w:rsidRDefault="00350025">
      <w:pPr>
        <w:pStyle w:val="BodyText"/>
        <w:numPr>
          <w:ilvl w:val="1"/>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FFS where and how this is indicated, e.g. SIB1</w:t>
      </w:r>
    </w:p>
    <w:p w14:paraId="3962B559" w14:textId="77777777" w:rsidR="00C231B8" w:rsidRPr="002D0015" w:rsidRDefault="00350025">
      <w:pPr>
        <w:pStyle w:val="BodyText"/>
        <w:numPr>
          <w:ilvl w:val="0"/>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For both licensed or unlicensed operation and with or without LBT, support the same DCI size for:</w:t>
      </w:r>
    </w:p>
    <w:p w14:paraId="3962B55A" w14:textId="77777777" w:rsidR="00C231B8" w:rsidRPr="002D0015" w:rsidRDefault="00350025">
      <w:pPr>
        <w:pStyle w:val="BodyText"/>
        <w:numPr>
          <w:ilvl w:val="1"/>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DCI format 1_0 scrambled with SI-RNTI</w:t>
      </w:r>
      <w:r w:rsidRPr="002D0015">
        <w:rPr>
          <w:rFonts w:ascii="Times New Roman" w:eastAsia="Times New Roman" w:hAnsi="Times New Roman"/>
          <w:strike/>
          <w:sz w:val="22"/>
          <w:szCs w:val="22"/>
          <w:u w:val="single"/>
          <w:lang w:eastAsia="zh-CN"/>
        </w:rPr>
        <w:t xml:space="preserve"> </w:t>
      </w:r>
      <w:r w:rsidRPr="002D0015">
        <w:rPr>
          <w:rFonts w:ascii="Times New Roman" w:eastAsia="Times New Roman" w:hAnsi="Times New Roman"/>
          <w:strike/>
          <w:sz w:val="22"/>
          <w:szCs w:val="22"/>
          <w:lang w:eastAsia="zh-CN"/>
        </w:rPr>
        <w:t>monitored in a common search space</w:t>
      </w:r>
    </w:p>
    <w:p w14:paraId="3962B55B" w14:textId="77777777" w:rsidR="00C231B8" w:rsidRPr="002D0015" w:rsidRDefault="00350025">
      <w:pPr>
        <w:pStyle w:val="BodyText"/>
        <w:numPr>
          <w:ilvl w:val="2"/>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Note: existing bit padding/truncation rules are assumed to applied for DCI format 0_0 monitored in common search space.</w:t>
      </w:r>
    </w:p>
    <w:p w14:paraId="3962B55C" w14:textId="77777777" w:rsidR="00C231B8" w:rsidRPr="002D0015" w:rsidRDefault="00350025">
      <w:pPr>
        <w:pStyle w:val="BodyText"/>
        <w:numPr>
          <w:ilvl w:val="1"/>
          <w:numId w:val="14"/>
        </w:numPr>
        <w:spacing w:after="0"/>
        <w:rPr>
          <w:rFonts w:ascii="Times New Roman" w:eastAsia="Times New Roman" w:hAnsi="Times New Roman"/>
          <w:strike/>
          <w:sz w:val="22"/>
          <w:szCs w:val="22"/>
          <w:lang w:eastAsia="zh-CN"/>
        </w:rPr>
      </w:pPr>
      <w:r w:rsidRPr="002D0015">
        <w:rPr>
          <w:rFonts w:ascii="Times New Roman" w:eastAsia="Times New Roman" w:hAnsi="Times New Roman"/>
          <w:strike/>
          <w:sz w:val="22"/>
          <w:szCs w:val="22"/>
          <w:lang w:eastAsia="zh-CN"/>
        </w:rPr>
        <w:t>FFS for other cases</w:t>
      </w:r>
    </w:p>
    <w:p w14:paraId="3962B5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63A4FF45" w:rsidR="00C231B8" w:rsidRDefault="00C231B8">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77777777" w:rsidR="00C231B8" w:rsidRDefault="00C231B8">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3962B579" w14:textId="77777777" w:rsidR="00C231B8" w:rsidRDefault="00C231B8">
      <w:pPr>
        <w:pStyle w:val="BodyText"/>
        <w:spacing w:after="0"/>
        <w:rPr>
          <w:rFonts w:ascii="Times New Roman" w:hAnsi="Times New Roman"/>
          <w:sz w:val="22"/>
          <w:szCs w:val="22"/>
          <w:lang w:eastAsia="zh-CN"/>
        </w:rPr>
      </w:pPr>
    </w:p>
    <w:p w14:paraId="3962B57A" w14:textId="77777777" w:rsidR="00C231B8" w:rsidRPr="003969AE" w:rsidRDefault="00350025">
      <w:pPr>
        <w:pStyle w:val="Heading5"/>
        <w:rPr>
          <w:rFonts w:ascii="Times New Roman" w:hAnsi="Times New Roman"/>
          <w:b/>
          <w:bCs/>
          <w:strike/>
          <w:lang w:eastAsia="zh-CN"/>
        </w:rPr>
      </w:pPr>
      <w:r w:rsidRPr="003969AE">
        <w:rPr>
          <w:rFonts w:ascii="Times New Roman" w:hAnsi="Times New Roman"/>
          <w:b/>
          <w:bCs/>
          <w:strike/>
          <w:highlight w:val="cyan"/>
          <w:lang w:eastAsia="zh-CN"/>
        </w:rPr>
        <w:t>Proposal 2.2-2C)</w:t>
      </w:r>
      <w:r w:rsidRPr="003969AE">
        <w:rPr>
          <w:rFonts w:ascii="Times New Roman" w:hAnsi="Times New Roman"/>
          <w:b/>
          <w:bCs/>
          <w:strike/>
          <w:lang w:eastAsia="zh-CN"/>
        </w:rPr>
        <w:t xml:space="preserve"> </w:t>
      </w:r>
    </w:p>
    <w:p w14:paraId="3962B57B" w14:textId="77777777" w:rsidR="00C231B8" w:rsidRPr="003969AE" w:rsidRDefault="00350025">
      <w:pPr>
        <w:pStyle w:val="BodyText"/>
        <w:numPr>
          <w:ilvl w:val="0"/>
          <w:numId w:val="6"/>
        </w:numPr>
        <w:spacing w:after="0" w:line="240" w:lineRule="auto"/>
        <w:rPr>
          <w:rFonts w:ascii="Times New Roman" w:hAnsi="Times New Roman"/>
          <w:strike/>
          <w:sz w:val="22"/>
          <w:szCs w:val="22"/>
          <w:lang w:eastAsia="zh-CN"/>
        </w:rPr>
      </w:pPr>
      <w:r w:rsidRPr="003969AE">
        <w:rPr>
          <w:rFonts w:ascii="Times New Roman" w:hAnsi="Times New Roman"/>
          <w:strike/>
          <w:sz w:val="22"/>
          <w:szCs w:val="22"/>
          <w:lang w:eastAsia="zh-CN"/>
        </w:rPr>
        <w:t>For 480 and 960kHz PRACH:</w:t>
      </w:r>
    </w:p>
    <w:p w14:paraId="3962B57C" w14:textId="77777777" w:rsidR="00C231B8" w:rsidRPr="003969AE" w:rsidRDefault="00350025">
      <w:pPr>
        <w:pStyle w:val="BodyText"/>
        <w:numPr>
          <w:ilvl w:val="1"/>
          <w:numId w:val="6"/>
        </w:numPr>
        <w:spacing w:after="0" w:line="240" w:lineRule="auto"/>
        <w:rPr>
          <w:rFonts w:ascii="Times New Roman" w:hAnsi="Times New Roman"/>
          <w:strike/>
          <w:sz w:val="22"/>
          <w:szCs w:val="22"/>
          <w:lang w:eastAsia="zh-CN"/>
        </w:rPr>
      </w:pPr>
      <w:r w:rsidRPr="003969AE">
        <w:rPr>
          <w:rFonts w:ascii="Times New Roman" w:hAnsi="Times New Roman"/>
          <w:strike/>
          <w:sz w:val="22"/>
          <w:szCs w:val="22"/>
          <w:lang w:eastAsia="zh-CN"/>
        </w:rPr>
        <w:t>at least the same RO density in time domain (i.e. number of RO per reference slot) as for 120kHz PRACH in FR2 is supported</w:t>
      </w:r>
    </w:p>
    <w:p w14:paraId="3962B57D" w14:textId="77777777" w:rsidR="00C231B8" w:rsidRPr="003969AE" w:rsidRDefault="00350025">
      <w:pPr>
        <w:pStyle w:val="BodyText"/>
        <w:numPr>
          <w:ilvl w:val="2"/>
          <w:numId w:val="6"/>
        </w:numPr>
        <w:spacing w:after="0" w:line="240" w:lineRule="auto"/>
        <w:rPr>
          <w:rFonts w:ascii="Times New Roman" w:hAnsi="Times New Roman"/>
          <w:strike/>
          <w:sz w:val="22"/>
          <w:szCs w:val="22"/>
          <w:lang w:eastAsia="zh-CN"/>
        </w:rPr>
      </w:pPr>
      <w:r w:rsidRPr="003969AE">
        <w:rPr>
          <w:rFonts w:ascii="Times New Roman" w:hAnsi="Times New Roman"/>
          <w:strike/>
          <w:sz w:val="22"/>
          <w:szCs w:val="22"/>
          <w:lang w:eastAsia="zh-CN"/>
        </w:rPr>
        <w:t>FFS: Support gap between consecutive ROs in time domain and the details to derive the gap</w:t>
      </w:r>
    </w:p>
    <w:p w14:paraId="3962B57E" w14:textId="77777777" w:rsidR="00C231B8" w:rsidRDefault="00C231B8">
      <w:pPr>
        <w:pStyle w:val="BodyText"/>
        <w:spacing w:after="0"/>
        <w:rPr>
          <w:rFonts w:ascii="Times New Roman" w:hAnsi="Times New Roman"/>
          <w:sz w:val="22"/>
          <w:szCs w:val="22"/>
          <w:lang w:eastAsia="zh-CN"/>
        </w:rPr>
      </w:pPr>
    </w:p>
    <w:p w14:paraId="0C36E30C" w14:textId="77777777" w:rsidR="003969AE" w:rsidRDefault="003969AE" w:rsidP="003969AE">
      <w:pPr>
        <w:pStyle w:val="Heading5"/>
        <w:rPr>
          <w:rFonts w:ascii="Times New Roman" w:hAnsi="Times New Roman"/>
          <w:b/>
          <w:bCs/>
          <w:lang w:eastAsia="zh-CN"/>
        </w:rPr>
      </w:pPr>
      <w:r w:rsidRPr="003969AE">
        <w:rPr>
          <w:rFonts w:ascii="Times New Roman" w:hAnsi="Times New Roman"/>
          <w:b/>
          <w:bCs/>
          <w:highlight w:val="cyan"/>
          <w:lang w:eastAsia="zh-CN"/>
        </w:rPr>
        <w:t>Proposal 2.2-2D)</w:t>
      </w:r>
      <w:r>
        <w:rPr>
          <w:rFonts w:ascii="Times New Roman" w:hAnsi="Times New Roman"/>
          <w:b/>
          <w:bCs/>
          <w:lang w:eastAsia="zh-CN"/>
        </w:rPr>
        <w:t xml:space="preserve"> </w:t>
      </w:r>
    </w:p>
    <w:p w14:paraId="30B104D9"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13C93C" w14:textId="77777777"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1C1BB274"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6D99D3B2" w14:textId="77777777" w:rsidR="003969AE" w:rsidRDefault="003969AE" w:rsidP="003969AE">
      <w:pPr>
        <w:pStyle w:val="BodyText"/>
        <w:spacing w:after="0"/>
        <w:rPr>
          <w:rFonts w:ascii="Times New Roman" w:hAnsi="Times New Roman"/>
          <w:sz w:val="22"/>
          <w:szCs w:val="22"/>
          <w:lang w:eastAsia="zh-CN"/>
        </w:rPr>
      </w:pPr>
    </w:p>
    <w:p w14:paraId="3962B57F" w14:textId="1E475A48" w:rsidR="00C231B8" w:rsidRDefault="00C231B8">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F6C87">
        <w:rPr>
          <w:rFonts w:ascii="Times New Roman" w:hAnsi="Times New Roman"/>
          <w:position w:val="-5"/>
          <w:sz w:val="22"/>
          <w:szCs w:val="22"/>
        </w:rPr>
        <w:pict w14:anchorId="3962B6D3">
          <v:shape id="_x0000_i1060"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B58E" w14:textId="77777777" w:rsidR="00C231B8" w:rsidRDefault="00C231B8">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t>Reference</w:t>
      </w:r>
    </w:p>
    <w:p w14:paraId="3962B590" w14:textId="77777777" w:rsidR="00C231B8" w:rsidRDefault="00350025">
      <w:pPr>
        <w:pStyle w:val="ListParagraph"/>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ListParagraph"/>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4"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4"/>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F1B6D" w14:textId="77777777" w:rsidR="00F668A4" w:rsidRDefault="00F668A4">
      <w:pPr>
        <w:spacing w:after="0" w:line="240" w:lineRule="auto"/>
      </w:pPr>
      <w:r>
        <w:separator/>
      </w:r>
    </w:p>
  </w:endnote>
  <w:endnote w:type="continuationSeparator" w:id="0">
    <w:p w14:paraId="1AEFBA15" w14:textId="77777777" w:rsidR="00F668A4" w:rsidRDefault="00F668A4">
      <w:pPr>
        <w:spacing w:after="0" w:line="240" w:lineRule="auto"/>
      </w:pPr>
      <w:r>
        <w:continuationSeparator/>
      </w:r>
    </w:p>
  </w:endnote>
  <w:endnote w:type="continuationNotice" w:id="1">
    <w:p w14:paraId="33AD6FCF" w14:textId="77777777" w:rsidR="00D52A64" w:rsidRDefault="00D52A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5" w14:textId="77777777" w:rsidR="0066262C" w:rsidRDefault="00662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66262C" w:rsidRDefault="00662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7" w14:textId="77777777" w:rsidR="0066262C" w:rsidRDefault="0066262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104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187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3154" w14:textId="77777777" w:rsidR="0066262C" w:rsidRDefault="0066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DB1EA" w14:textId="77777777" w:rsidR="00F668A4" w:rsidRDefault="00F668A4">
      <w:pPr>
        <w:spacing w:after="0" w:line="240" w:lineRule="auto"/>
      </w:pPr>
      <w:r>
        <w:separator/>
      </w:r>
    </w:p>
  </w:footnote>
  <w:footnote w:type="continuationSeparator" w:id="0">
    <w:p w14:paraId="5649A760" w14:textId="77777777" w:rsidR="00F668A4" w:rsidRDefault="00F668A4">
      <w:pPr>
        <w:spacing w:after="0" w:line="240" w:lineRule="auto"/>
      </w:pPr>
      <w:r>
        <w:continuationSeparator/>
      </w:r>
    </w:p>
  </w:footnote>
  <w:footnote w:type="continuationNotice" w:id="1">
    <w:p w14:paraId="39EB93F2" w14:textId="77777777" w:rsidR="00D52A64" w:rsidRDefault="00D52A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4" w14:textId="77777777" w:rsidR="0066262C" w:rsidRDefault="0066262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E362" w14:textId="77777777" w:rsidR="0066262C" w:rsidRDefault="00662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E4D2" w14:textId="77777777" w:rsidR="0066262C" w:rsidRDefault="00662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2"/>
  </w:num>
  <w:num w:numId="6">
    <w:abstractNumId w:val="10"/>
  </w:num>
  <w:num w:numId="7">
    <w:abstractNumId w:val="38"/>
  </w:num>
  <w:num w:numId="8">
    <w:abstractNumId w:val="28"/>
  </w:num>
  <w:num w:numId="9">
    <w:abstractNumId w:val="36"/>
  </w:num>
  <w:num w:numId="10">
    <w:abstractNumId w:val="54"/>
  </w:num>
  <w:num w:numId="11">
    <w:abstractNumId w:val="8"/>
  </w:num>
  <w:num w:numId="12">
    <w:abstractNumId w:val="14"/>
  </w:num>
  <w:num w:numId="13">
    <w:abstractNumId w:val="53"/>
  </w:num>
  <w:num w:numId="14">
    <w:abstractNumId w:val="33"/>
  </w:num>
  <w:num w:numId="15">
    <w:abstractNumId w:val="40"/>
  </w:num>
  <w:num w:numId="16">
    <w:abstractNumId w:val="16"/>
  </w:num>
  <w:num w:numId="17">
    <w:abstractNumId w:val="21"/>
  </w:num>
  <w:num w:numId="18">
    <w:abstractNumId w:val="4"/>
  </w:num>
  <w:num w:numId="19">
    <w:abstractNumId w:val="31"/>
  </w:num>
  <w:num w:numId="20">
    <w:abstractNumId w:val="7"/>
  </w:num>
  <w:num w:numId="21">
    <w:abstractNumId w:val="48"/>
  </w:num>
  <w:num w:numId="22">
    <w:abstractNumId w:val="30"/>
  </w:num>
  <w:num w:numId="23">
    <w:abstractNumId w:val="9"/>
  </w:num>
  <w:num w:numId="24">
    <w:abstractNumId w:val="25"/>
  </w:num>
  <w:num w:numId="25">
    <w:abstractNumId w:val="52"/>
  </w:num>
  <w:num w:numId="26">
    <w:abstractNumId w:val="32"/>
  </w:num>
  <w:num w:numId="27">
    <w:abstractNumId w:val="51"/>
  </w:num>
  <w:num w:numId="28">
    <w:abstractNumId w:val="19"/>
  </w:num>
  <w:num w:numId="29">
    <w:abstractNumId w:val="0"/>
  </w:num>
  <w:num w:numId="30">
    <w:abstractNumId w:val="15"/>
  </w:num>
  <w:num w:numId="31">
    <w:abstractNumId w:val="39"/>
  </w:num>
  <w:num w:numId="32">
    <w:abstractNumId w:val="49"/>
  </w:num>
  <w:num w:numId="33">
    <w:abstractNumId w:val="17"/>
  </w:num>
  <w:num w:numId="34">
    <w:abstractNumId w:val="5"/>
  </w:num>
  <w:num w:numId="35">
    <w:abstractNumId w:val="18"/>
  </w:num>
  <w:num w:numId="36">
    <w:abstractNumId w:val="41"/>
  </w:num>
  <w:num w:numId="37">
    <w:abstractNumId w:val="50"/>
  </w:num>
  <w:num w:numId="38">
    <w:abstractNumId w:val="13"/>
  </w:num>
  <w:num w:numId="39">
    <w:abstractNumId w:val="27"/>
  </w:num>
  <w:num w:numId="40">
    <w:abstractNumId w:val="2"/>
  </w:num>
  <w:num w:numId="41">
    <w:abstractNumId w:val="34"/>
  </w:num>
  <w:num w:numId="42">
    <w:abstractNumId w:val="23"/>
  </w:num>
  <w:num w:numId="43">
    <w:abstractNumId w:val="47"/>
  </w:num>
  <w:num w:numId="44">
    <w:abstractNumId w:val="43"/>
  </w:num>
  <w:num w:numId="45">
    <w:abstractNumId w:val="44"/>
  </w:num>
  <w:num w:numId="46">
    <w:abstractNumId w:val="37"/>
  </w:num>
  <w:num w:numId="47">
    <w:abstractNumId w:val="24"/>
  </w:num>
  <w:num w:numId="48">
    <w:abstractNumId w:val="56"/>
  </w:num>
  <w:num w:numId="49">
    <w:abstractNumId w:val="22"/>
  </w:num>
  <w:num w:numId="50">
    <w:abstractNumId w:val="46"/>
  </w:num>
  <w:num w:numId="51">
    <w:abstractNumId w:val="12"/>
  </w:num>
  <w:num w:numId="52">
    <w:abstractNumId w:val="3"/>
  </w:num>
  <w:num w:numId="53">
    <w:abstractNumId w:val="26"/>
  </w:num>
  <w:num w:numId="54">
    <w:abstractNumId w:val="29"/>
  </w:num>
  <w:num w:numId="55">
    <w:abstractNumId w:val="11"/>
  </w:num>
  <w:num w:numId="56">
    <w:abstractNumId w:val="6"/>
  </w:num>
  <w:num w:numId="57">
    <w:abstractNumId w:val="55"/>
  </w:num>
  <w:num w:numId="58">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3D2"/>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71E"/>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0A"/>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3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87FBA"/>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6DE7"/>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2F25"/>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C87"/>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9A1"/>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210"/>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A1C"/>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17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6F77"/>
    <w:rsid w:val="004674CF"/>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A7F"/>
    <w:rsid w:val="004B1313"/>
    <w:rsid w:val="004B1349"/>
    <w:rsid w:val="004B169E"/>
    <w:rsid w:val="004B1B53"/>
    <w:rsid w:val="004B1C42"/>
    <w:rsid w:val="004B1F62"/>
    <w:rsid w:val="004B1FAF"/>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621"/>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C29"/>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3E8"/>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076"/>
    <w:rsid w:val="005C34ED"/>
    <w:rsid w:val="005C376D"/>
    <w:rsid w:val="005C3A65"/>
    <w:rsid w:val="005C3B93"/>
    <w:rsid w:val="005C3CDF"/>
    <w:rsid w:val="005C4558"/>
    <w:rsid w:val="005C4B4D"/>
    <w:rsid w:val="005C4DE3"/>
    <w:rsid w:val="005C50C6"/>
    <w:rsid w:val="005C5379"/>
    <w:rsid w:val="005C55A1"/>
    <w:rsid w:val="005C5849"/>
    <w:rsid w:val="005C6295"/>
    <w:rsid w:val="005C6428"/>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0E7"/>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75A"/>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877"/>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015"/>
    <w:rsid w:val="0068721F"/>
    <w:rsid w:val="00687555"/>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864"/>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C6E"/>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81A"/>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8F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4E9"/>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4C0F"/>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902"/>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AC"/>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9F3"/>
    <w:rsid w:val="007E2B64"/>
    <w:rsid w:val="007E2CA6"/>
    <w:rsid w:val="007E3818"/>
    <w:rsid w:val="007E3A17"/>
    <w:rsid w:val="007E4320"/>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A2"/>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748"/>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86A"/>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353"/>
    <w:rsid w:val="0087250F"/>
    <w:rsid w:val="008734E7"/>
    <w:rsid w:val="00873820"/>
    <w:rsid w:val="00873BF0"/>
    <w:rsid w:val="008741FF"/>
    <w:rsid w:val="0087421B"/>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C5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5CEE"/>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AB4"/>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49A1"/>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C6D"/>
    <w:rsid w:val="00A13CF1"/>
    <w:rsid w:val="00A14122"/>
    <w:rsid w:val="00A145D0"/>
    <w:rsid w:val="00A1469B"/>
    <w:rsid w:val="00A14743"/>
    <w:rsid w:val="00A148AA"/>
    <w:rsid w:val="00A14B5D"/>
    <w:rsid w:val="00A14EE8"/>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2D6"/>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5FDC"/>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E7BEC"/>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D37"/>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B33"/>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CA3"/>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77"/>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A43"/>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31A"/>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9BD"/>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89A"/>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A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A64"/>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7CC"/>
    <w:rsid w:val="00DA6E4D"/>
    <w:rsid w:val="00DA714A"/>
    <w:rsid w:val="00DA71A8"/>
    <w:rsid w:val="00DA71AF"/>
    <w:rsid w:val="00DA727D"/>
    <w:rsid w:val="00DA7399"/>
    <w:rsid w:val="00DA76AC"/>
    <w:rsid w:val="00DA76E4"/>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321"/>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A9"/>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448"/>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601F"/>
    <w:rsid w:val="00E460A1"/>
    <w:rsid w:val="00E46420"/>
    <w:rsid w:val="00E4653D"/>
    <w:rsid w:val="00E467FB"/>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4E06"/>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BDE"/>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F30"/>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07"/>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3AE0"/>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8A4"/>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9629D6C"/>
  <w15:docId w15:val="{8C3B1E86-84B0-4D8B-87B5-E2064DFB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88B97E" w:themeColor="background1" w:themeShade="BF"/>
        <w:left w:val="single" w:sz="4" w:space="0" w:color="88B97E" w:themeColor="background1" w:themeShade="BF"/>
        <w:bottom w:val="single" w:sz="4" w:space="0" w:color="88B97E" w:themeColor="background1" w:themeShade="BF"/>
        <w:right w:val="single" w:sz="4" w:space="0" w:color="88B97E" w:themeColor="background1" w:themeShade="BF"/>
        <w:insideH w:val="single" w:sz="4" w:space="0" w:color="88B97E" w:themeColor="background1" w:themeShade="BF"/>
        <w:insideV w:val="single" w:sz="4" w:space="0" w:color="88B97E"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 w:type="paragraph" w:styleId="Revision">
    <w:name w:val="Revision"/>
    <w:hidden/>
    <w:uiPriority w:val="99"/>
    <w:semiHidden/>
    <w:rsid w:val="00A14EE8"/>
    <w:pPr>
      <w:spacing w:after="0" w:line="240" w:lineRule="auto"/>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57266"/>
    <w:rsid w:val="009701FC"/>
    <w:rsid w:val="009702DA"/>
    <w:rsid w:val="00970803"/>
    <w:rsid w:val="00987F5F"/>
    <w:rsid w:val="009C6108"/>
    <w:rsid w:val="009D1234"/>
    <w:rsid w:val="009E1DBC"/>
    <w:rsid w:val="009F3E69"/>
    <w:rsid w:val="00A01E97"/>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C7DEC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AB201-16BF-42F9-895B-4E5E0E6E15C3}">
  <ds:schemaRefs>
    <ds:schemaRef ds:uri="http://purl.org/dc/terms/"/>
    <ds:schemaRef ds:uri="http://schemas.openxmlformats.org/package/2006/metadata/core-properties"/>
    <ds:schemaRef ds:uri="http://schemas.microsoft.com/office/2006/documentManagement/types"/>
    <ds:schemaRef ds:uri="55ae6c15-9962-46ae-a768-8deca3649a65"/>
    <ds:schemaRef ds:uri="http://purl.org/dc/elements/1.1/"/>
    <ds:schemaRef ds:uri="http://schemas.microsoft.com/office/2006/metadata/properties"/>
    <ds:schemaRef ds:uri="71c5aaf6-e6ce-465b-b873-5148d2a4c105"/>
    <ds:schemaRef ds:uri="http://schemas.microsoft.com/office/infopath/2007/PartnerControls"/>
    <ds:schemaRef ds:uri="28d22441-8343-43f8-ac6d-b59b0fa8fca6"/>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AF86DE4C-19DD-434C-8290-75C6DF23D57A}">
  <ds:schemaRefs>
    <ds:schemaRef ds:uri="http://schemas.openxmlformats.org/officeDocument/2006/bibliography"/>
  </ds:schemaRefs>
</ds:datastoreItem>
</file>

<file path=customXml/itemProps6.xml><?xml version="1.0" encoding="utf-8"?>
<ds:datastoreItem xmlns:ds="http://schemas.openxmlformats.org/officeDocument/2006/customXml" ds:itemID="{E6D2D818-4FE4-4960-8B73-832F0CD9DBBD}">
  <ds:schemaRefs>
    <ds:schemaRef ds:uri="http://schemas.openxmlformats.org/officeDocument/2006/bibliography"/>
  </ds:schemaRefs>
</ds:datastoreItem>
</file>

<file path=customXml/itemProps7.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111</TotalTime>
  <Pages>4</Pages>
  <Words>65799</Words>
  <Characters>375057</Characters>
  <Application>Microsoft Office Word</Application>
  <DocSecurity>0</DocSecurity>
  <Lines>3125</Lines>
  <Paragraphs>879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439977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Morozov, Gregory V</cp:lastModifiedBy>
  <cp:revision>64</cp:revision>
  <cp:lastPrinted>2011-11-09T19:49:00Z</cp:lastPrinted>
  <dcterms:created xsi:type="dcterms:W3CDTF">2021-08-25T20:54:00Z</dcterms:created>
  <dcterms:modified xsi:type="dcterms:W3CDTF">2021-08-25T13:10:00Z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