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8C070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8C070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8C070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FFS: Other eMTC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lastRenderedPageBreak/>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18.75pt;mso-width-percent:0;mso-height-percent:0;mso-width-percent:0;mso-height-percent:0" o:ole="">
                  <v:imagedata r:id="rId11" o:title=""/>
                </v:shape>
                <o:OLEObject Type="Embed" ProgID="Equation.3" ShapeID="_x0000_i1025" DrawAspect="Content" ObjectID="_1690772780"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77777777" w:rsidR="0039638B" w:rsidRDefault="0039638B" w:rsidP="0039638B">
      <w:pPr>
        <w:pStyle w:val="Heading3"/>
        <w:rPr>
          <w:lang w:eastAsia="zh-CN"/>
        </w:rPr>
      </w:pPr>
      <w:r>
        <w:t xml:space="preserve">SECOND ROUND Discussion on </w:t>
      </w:r>
      <w:r w:rsidRPr="00593334">
        <w:rPr>
          <w:lang w:eastAsia="zh-CN"/>
        </w:rPr>
        <w:t xml:space="preserve">NPDCCH to NPUSCH format 1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5542A13" w14:textId="77777777" w:rsidR="0039638B" w:rsidRPr="008E4D0A" w:rsidRDefault="0039638B"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lastRenderedPageBreak/>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E55677">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77777777" w:rsidR="002C1482" w:rsidRDefault="002C1482" w:rsidP="002C1482">
      <w:pPr>
        <w:pStyle w:val="Heading3"/>
        <w:rPr>
          <w:lang w:eastAsia="zh-CN"/>
        </w:rPr>
      </w:pPr>
      <w:r>
        <w:t xml:space="preserve">SECODN ROUND Discussion on </w:t>
      </w:r>
      <w:r w:rsidRPr="008772FF">
        <w:rPr>
          <w:lang w:eastAsia="zh-CN"/>
        </w:rPr>
        <w:t>NPDSCH to HARQ-ACK on NPUSCH format 2</w:t>
      </w:r>
    </w:p>
    <w:p w14:paraId="19DC106B" w14:textId="6F4CF584" w:rsidR="002C1482" w:rsidRDefault="002C1482" w:rsidP="002C1482">
      <w:r>
        <w:t>All responding companies support but some would like a change in the wording</w:t>
      </w:r>
    </w:p>
    <w:p w14:paraId="6B30FE91" w14:textId="77777777" w:rsidR="002C1482" w:rsidRDefault="002C1482" w:rsidP="002C1482"/>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6B2F674A" w14:textId="77777777" w:rsidR="002C1482" w:rsidRPr="002C1482" w:rsidRDefault="002C1482" w:rsidP="002C1482">
      <w:pPr>
        <w:rPr>
          <w:lang w:eastAsia="x-none"/>
        </w:rPr>
      </w:pPr>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5D5C58FE" w14:textId="77777777" w:rsidR="002C1482" w:rsidRPr="002C1482" w:rsidRDefault="002C1482" w:rsidP="002C1482"/>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lastRenderedPageBreak/>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4C55EF47" w14:textId="77777777" w:rsidR="00216553" w:rsidRDefault="00216553" w:rsidP="00216553">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r w:rsidRPr="0088756D">
              <w:rPr>
                <w:rFonts w:hint="eastAsia"/>
              </w:rPr>
              <w:t>Lenovo</w:t>
            </w:r>
            <w:r>
              <w:t>,MotoM</w:t>
            </w:r>
            <w:proofErr w:type="spell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7777777" w:rsidR="00CA47A1" w:rsidRDefault="00CA47A1" w:rsidP="00CA47A1">
      <w:pPr>
        <w:pStyle w:val="Heading3"/>
        <w:rPr>
          <w:lang w:eastAsia="zh-CN"/>
        </w:rPr>
      </w:pPr>
      <w:r>
        <w:t xml:space="preserve">SECOND ROUND Discussion on </w:t>
      </w:r>
      <w:r w:rsidRPr="0040128D">
        <w:rPr>
          <w:lang w:eastAsia="zh-CN"/>
        </w:rPr>
        <w:t>Timing advance command activation</w:t>
      </w:r>
    </w:p>
    <w:p w14:paraId="6867B18E" w14:textId="77777777" w:rsidR="00CA47A1" w:rsidRDefault="00CA47A1" w:rsidP="00CA47A1">
      <w:r>
        <w:t>All responding companies support but some would like a change in the wording:</w:t>
      </w:r>
    </w:p>
    <w:p w14:paraId="2343C139" w14:textId="73645C0D" w:rsidR="00CA47A1" w:rsidRDefault="00CA47A1">
      <w:pPr>
        <w:spacing w:after="160" w:line="259" w:lineRule="auto"/>
      </w:pP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5D701F89" w14:textId="77777777" w:rsidR="00CA47A1" w:rsidRDefault="00CA47A1" w:rsidP="00CA47A1">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6C2C4ED0" w14:textId="5A4B40CC" w:rsidR="00CA47A1" w:rsidRDefault="00CA47A1">
      <w:pPr>
        <w:spacing w:after="160" w:line="259" w:lineRule="auto"/>
      </w:pPr>
    </w:p>
    <w:p w14:paraId="1401BAA3" w14:textId="2161C19A" w:rsidR="009E2FEE" w:rsidRDefault="009E2FEE">
      <w:pPr>
        <w:spacing w:after="160" w:line="259" w:lineRule="auto"/>
      </w:pPr>
    </w:p>
    <w:p w14:paraId="3E4D083D" w14:textId="77777777" w:rsidR="009E2FEE" w:rsidRDefault="009E2FEE">
      <w:pPr>
        <w:spacing w:after="160" w:line="259" w:lineRule="auto"/>
      </w:pPr>
    </w:p>
    <w:p w14:paraId="3B9BE0DC" w14:textId="72AEF1DF" w:rsidR="009E2FEE" w:rsidRDefault="009E2FEE" w:rsidP="009E2FEE">
      <w:pPr>
        <w:pStyle w:val="Heading2"/>
      </w:pPr>
      <w:r>
        <w:lastRenderedPageBreak/>
        <w:t>SECOND ROUND: Summary of NB-IoT Timing Proposal</w:t>
      </w:r>
    </w:p>
    <w:p w14:paraId="7B0B82DE" w14:textId="77777777" w:rsidR="009E2FEE" w:rsidRPr="00C710B2" w:rsidRDefault="009E2FEE" w:rsidP="009E2FEE">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03A874BD" w14:textId="77777777" w:rsidR="009E2FEE" w:rsidRDefault="009E2FEE" w:rsidP="009E2FEE">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C81F691" w14:textId="5DAE921A" w:rsidR="009E2FEE" w:rsidRDefault="009E2FEE" w:rsidP="009E2FEE">
      <w:pPr>
        <w:rPr>
          <w:lang w:val="en-US"/>
        </w:rPr>
      </w:pPr>
    </w:p>
    <w:p w14:paraId="4E303B59" w14:textId="77777777" w:rsidR="009E2FEE" w:rsidRPr="002C1482" w:rsidRDefault="009E2FEE" w:rsidP="009E2FEE">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2B61B520" w14:textId="77777777" w:rsidR="009E2FEE" w:rsidRPr="002C1482" w:rsidRDefault="009E2FEE" w:rsidP="009E2FEE">
      <w:pPr>
        <w:rPr>
          <w:lang w:eastAsia="x-none"/>
        </w:rPr>
      </w:pPr>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0D27E2B0" w14:textId="77777777" w:rsidR="009E2FEE" w:rsidRPr="009E2FEE" w:rsidRDefault="009E2FEE" w:rsidP="009E2FEE">
      <w:pPr>
        <w:rPr>
          <w:lang w:val="en-US"/>
        </w:rPr>
      </w:pPr>
    </w:p>
    <w:p w14:paraId="660E3B6D" w14:textId="77777777" w:rsidR="009E2FEE" w:rsidRPr="00C710B2" w:rsidRDefault="009E2FEE" w:rsidP="009E2FEE">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4B0AA6D4" w14:textId="77777777" w:rsidR="009E2FEE" w:rsidRDefault="009E2FEE" w:rsidP="009E2FEE">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9117A4D" w14:textId="77777777" w:rsidR="00216553" w:rsidRDefault="00216553" w:rsidP="00216553">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7777777" w:rsidR="00CA47A1" w:rsidRDefault="00CA47A1" w:rsidP="00CA47A1">
      <w:pPr>
        <w:pStyle w:val="Heading3"/>
        <w:rPr>
          <w:lang w:eastAsia="zh-CN"/>
        </w:rPr>
      </w:pPr>
      <w:r>
        <w:t xml:space="preserve">SECOND ROUND Discussion on </w:t>
      </w:r>
      <w:r w:rsidRPr="00DD484B">
        <w:rPr>
          <w:lang w:eastAsia="zh-CN"/>
        </w:rPr>
        <w:t xml:space="preserve">MPDCCH to PUSCH </w:t>
      </w:r>
    </w:p>
    <w:p w14:paraId="66E57400" w14:textId="77777777" w:rsidR="00CA47A1" w:rsidRDefault="00CA47A1" w:rsidP="00CA47A1">
      <w:r>
        <w:t>All responding companies support but some would like a change in the wording:</w:t>
      </w:r>
    </w:p>
    <w:p w14:paraId="21E9A3C1" w14:textId="403980CE" w:rsidR="00CA47A1" w:rsidRDefault="00CA47A1" w:rsidP="00DD484B"/>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90F3AC5" w14:textId="0486E742"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66274BE" w14:textId="77777777" w:rsidR="00CA47A1" w:rsidRPr="00DD484B" w:rsidRDefault="00CA47A1" w:rsidP="00CA47A1"/>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lastRenderedPageBreak/>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lastRenderedPageBreak/>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2D3CC318" w14:textId="7EFB4DA8" w:rsidR="003C1257"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09DF1501" w14:textId="77777777" w:rsidR="00216553" w:rsidRPr="0040128D" w:rsidRDefault="00216553"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77777777" w:rsidR="00CA47A1" w:rsidRPr="00DD484B" w:rsidRDefault="00CA47A1" w:rsidP="00CA47A1">
      <w:pPr>
        <w:pStyle w:val="Heading3"/>
        <w:rPr>
          <w:lang w:eastAsia="zh-CN"/>
        </w:rPr>
      </w:pPr>
      <w:r>
        <w:t xml:space="preserve">SECOND ROUND Discussion on </w:t>
      </w:r>
      <w:r w:rsidRPr="00DD484B">
        <w:rPr>
          <w:lang w:eastAsia="zh-CN"/>
        </w:rPr>
        <w:t>RAR grant to PUSCH</w:t>
      </w:r>
    </w:p>
    <w:p w14:paraId="2D89BC51" w14:textId="77777777" w:rsidR="00CA47A1" w:rsidRDefault="00CA47A1" w:rsidP="00CA47A1">
      <w:r>
        <w:t>All responding companies support but some would like a change in the wording:</w:t>
      </w:r>
    </w:p>
    <w:p w14:paraId="17B2EBF7" w14:textId="38898B6B" w:rsidR="00CA47A1" w:rsidRDefault="00CA47A1" w:rsidP="00302003"/>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359863FC" w14:textId="77777777" w:rsidR="00CA47A1" w:rsidRDefault="00CA47A1" w:rsidP="00CA47A1">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0FB6532D" w14:textId="77777777" w:rsidR="00CA47A1" w:rsidRDefault="00CA47A1"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w:t>
            </w:r>
            <w:r w:rsidRPr="00C264F2">
              <w:rPr>
                <w:rFonts w:eastAsia="SimSun"/>
                <w:b/>
              </w:rPr>
              <w:lastRenderedPageBreak/>
              <w:t xml:space="preserve">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lastRenderedPageBreak/>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28923607" w14:textId="77777777" w:rsidR="00216553" w:rsidRDefault="00216553" w:rsidP="0021655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lastRenderedPageBreak/>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77777777" w:rsidR="00CA47A1" w:rsidRPr="00DD484B" w:rsidRDefault="00CA47A1" w:rsidP="00CA47A1">
      <w:pPr>
        <w:pStyle w:val="Heading3"/>
        <w:rPr>
          <w:lang w:eastAsia="zh-CN"/>
        </w:rPr>
      </w:pPr>
      <w:bookmarkStart w:id="45" w:name="_Toc80031352"/>
      <w:r>
        <w:t xml:space="preserve">SECOND ROUND Discussion on </w:t>
      </w:r>
      <w:r w:rsidRPr="0060198D">
        <w:rPr>
          <w:lang w:eastAsia="zh-CN"/>
        </w:rPr>
        <w:t>MPDCCH to scheduled uplink SPS</w:t>
      </w:r>
    </w:p>
    <w:p w14:paraId="3873C76B" w14:textId="77777777" w:rsidR="00CA47A1" w:rsidRDefault="00CA47A1" w:rsidP="00CA47A1">
      <w:r>
        <w:t>All responding companies support but some would like a change in the wording:</w:t>
      </w:r>
    </w:p>
    <w:p w14:paraId="0245F2F9" w14:textId="77777777" w:rsidR="00CA47A1" w:rsidRDefault="00CA47A1" w:rsidP="00CA47A1">
      <w:pPr>
        <w:spacing w:after="160"/>
        <w:rPr>
          <w:highlight w:val="cyan"/>
          <w:u w:val="single"/>
          <w:lang w:eastAsia="zh-CN"/>
        </w:rPr>
      </w:pPr>
    </w:p>
    <w:p w14:paraId="234F7A3E" w14:textId="797109BE"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3B1158D7" w14:textId="77777777" w:rsidR="00CA47A1" w:rsidRDefault="00CA47A1" w:rsidP="00CA47A1"/>
    <w:p w14:paraId="238A126A" w14:textId="008FBF47" w:rsidR="00CA47A1"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F8DC4DF" w14:textId="77777777" w:rsidR="00CA47A1" w:rsidRDefault="00CA47A1" w:rsidP="00CA47A1">
      <w:pPr>
        <w:pStyle w:val="Heading2"/>
        <w:numPr>
          <w:ilvl w:val="0"/>
          <w:numId w:val="0"/>
        </w:numPr>
        <w:rPr>
          <w:rStyle w:val="Heading2Char"/>
        </w:rPr>
      </w:pPr>
    </w:p>
    <w:p w14:paraId="78D92D8D" w14:textId="7C9FF52D" w:rsidR="00302003" w:rsidRPr="00D06978" w:rsidRDefault="00302003" w:rsidP="00302003">
      <w:pPr>
        <w:pStyle w:val="Heading2"/>
        <w:rPr>
          <w:rStyle w:val="Heading2Char"/>
        </w:rPr>
      </w:pPr>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68BA7EF3" w:rsidR="000F5B0D" w:rsidRDefault="00216553"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lastRenderedPageBreak/>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77777777" w:rsidR="00CA47A1" w:rsidRPr="00DD484B" w:rsidRDefault="00CA47A1" w:rsidP="00CA47A1">
      <w:pPr>
        <w:pStyle w:val="Heading3"/>
        <w:rPr>
          <w:lang w:eastAsia="zh-CN"/>
        </w:rPr>
      </w:pPr>
      <w:r>
        <w:t xml:space="preserve">SECOND ROUND Discussion on </w:t>
      </w:r>
      <w:r w:rsidRPr="00F0622C">
        <w:rPr>
          <w:lang w:eastAsia="zh-CN"/>
        </w:rPr>
        <w:t xml:space="preserve">PDSCH to HARQ-ACK on PUCCH </w:t>
      </w:r>
    </w:p>
    <w:p w14:paraId="73C236F0" w14:textId="77777777" w:rsidR="00CA47A1" w:rsidRDefault="00CA47A1" w:rsidP="00CA47A1">
      <w:r>
        <w:t>All responding companies support but some would like a change in the wording:</w:t>
      </w:r>
    </w:p>
    <w:p w14:paraId="7D4464C0" w14:textId="19B3026D" w:rsidR="00CA47A1" w:rsidRDefault="00CA47A1" w:rsidP="00302003"/>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8D8E1D1" w14:textId="77777777" w:rsidR="00CA47A1" w:rsidRDefault="00CA47A1" w:rsidP="00CA47A1">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0370D223" w14:textId="77777777" w:rsidR="00CA47A1" w:rsidRDefault="00CA47A1"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lastRenderedPageBreak/>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452B1D94" w14:textId="77777777" w:rsidR="00216553" w:rsidRDefault="00216553" w:rsidP="0021655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77777777" w:rsidR="00CA47A1" w:rsidRPr="00DD484B" w:rsidRDefault="00CA47A1" w:rsidP="00CA47A1">
      <w:pPr>
        <w:pStyle w:val="Heading3"/>
        <w:rPr>
          <w:lang w:eastAsia="zh-CN"/>
        </w:rPr>
      </w:pPr>
      <w:r>
        <w:lastRenderedPageBreak/>
        <w:t xml:space="preserve">SECOND ROUND Discussion on </w:t>
      </w:r>
      <w:r w:rsidRPr="00F0622C">
        <w:rPr>
          <w:lang w:eastAsia="zh-CN"/>
        </w:rPr>
        <w:t xml:space="preserve">CSI reference resource timing </w:t>
      </w:r>
    </w:p>
    <w:p w14:paraId="410DD8D5" w14:textId="77777777" w:rsidR="00CA47A1" w:rsidRPr="00DD484B" w:rsidRDefault="00CA47A1" w:rsidP="00CA47A1">
      <w:pPr>
        <w:rPr>
          <w:rFonts w:asciiTheme="minorHAnsi" w:hAnsiTheme="minorHAnsi" w:cstheme="minorBidi"/>
        </w:rPr>
      </w:pPr>
      <w:r>
        <w:rPr>
          <w:lang w:eastAsia="zh-CN"/>
        </w:rPr>
        <w:t>3 responding companies support 3 suggest modifications and one suggests we need further consideration.</w:t>
      </w:r>
    </w:p>
    <w:p w14:paraId="4B44289D" w14:textId="77777777" w:rsidR="00CA47A1" w:rsidRDefault="00CA47A1" w:rsidP="00CA47A1">
      <w:pPr>
        <w:spacing w:after="160"/>
        <w:rPr>
          <w:rFonts w:asciiTheme="minorHAnsi" w:hAnsiTheme="minorHAnsi" w:cstheme="minorBidi"/>
        </w:rPr>
      </w:pP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1EBF35EA" w14:textId="77777777" w:rsidR="00CA47A1" w:rsidRDefault="00CA47A1" w:rsidP="00CA47A1">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66FDA7F" w14:textId="77777777" w:rsidR="00216553" w:rsidRDefault="00216553" w:rsidP="0021655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w:t>
            </w:r>
            <w:r w:rsidRPr="00A21325">
              <w:rPr>
                <w:highlight w:val="cyan"/>
              </w:rPr>
              <w:lastRenderedPageBreak/>
              <w:t xml:space="preserve">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lastRenderedPageBreak/>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7777777" w:rsidR="00CA47A1" w:rsidRPr="00DD484B" w:rsidRDefault="00CA47A1" w:rsidP="00CA47A1">
      <w:pPr>
        <w:pStyle w:val="Heading3"/>
        <w:rPr>
          <w:lang w:eastAsia="zh-CN"/>
        </w:rPr>
      </w:pPr>
      <w:r>
        <w:t xml:space="preserve">SECOND ROUND Discussion on </w:t>
      </w:r>
      <w:r w:rsidRPr="00F0622C">
        <w:rPr>
          <w:lang w:eastAsia="zh-CN"/>
        </w:rPr>
        <w:t>MPDCCH to aperiodic SRS</w:t>
      </w:r>
    </w:p>
    <w:p w14:paraId="0FDE7E7F" w14:textId="77777777" w:rsidR="00CA47A1" w:rsidRDefault="00CA47A1" w:rsidP="00CA47A1">
      <w:r>
        <w:t>All responding companies support but some would like a change in the wording:</w:t>
      </w:r>
    </w:p>
    <w:p w14:paraId="67B2B02D" w14:textId="228B1718" w:rsidR="00CA47A1" w:rsidRDefault="00CA47A1" w:rsidP="00302003"/>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4996A7E" w14:textId="77777777" w:rsidR="00CA47A1" w:rsidRDefault="00CA47A1" w:rsidP="00CA47A1">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D01AD1D" w14:textId="77777777" w:rsidR="00CA47A1" w:rsidRPr="008E4D0A" w:rsidRDefault="00CA47A1"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43042047" w14:textId="29CA745E" w:rsidR="003D1087"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56DEF44B" w14:textId="77777777" w:rsidR="00216553" w:rsidRPr="0060198D" w:rsidRDefault="00216553"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77777777" w:rsidR="00CA47A1" w:rsidRDefault="00CA47A1" w:rsidP="00CA47A1">
      <w:pPr>
        <w:pStyle w:val="Heading3"/>
        <w:rPr>
          <w:lang w:eastAsia="zh-CN"/>
        </w:rPr>
      </w:pPr>
      <w:r>
        <w:t xml:space="preserve">SECOND ROUND Discussion on </w:t>
      </w:r>
      <w:r w:rsidRPr="0040128D">
        <w:rPr>
          <w:lang w:eastAsia="zh-CN"/>
        </w:rPr>
        <w:t>Timing advance command activation</w:t>
      </w:r>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626A1AE7" w14:textId="77777777" w:rsidR="00CA47A1" w:rsidRDefault="00CA47A1" w:rsidP="00CA47A1">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4E55968" w14:textId="77777777" w:rsidR="009E2FEE" w:rsidRDefault="009E2FEE" w:rsidP="00CA47A1">
      <w:pPr>
        <w:spacing w:after="160" w:line="259" w:lineRule="auto"/>
      </w:pPr>
    </w:p>
    <w:p w14:paraId="1DA3D2A2" w14:textId="6CC1F4CF" w:rsidR="009E2FEE" w:rsidRDefault="009E2FEE" w:rsidP="009E2FEE">
      <w:pPr>
        <w:pStyle w:val="Heading2"/>
      </w:pPr>
      <w:r>
        <w:t xml:space="preserve">SECOND ROUND: Summary of </w:t>
      </w:r>
      <w:proofErr w:type="spellStart"/>
      <w:r>
        <w:t>eMTC</w:t>
      </w:r>
      <w:proofErr w:type="spellEnd"/>
      <w:r>
        <w:t>-IoT Timing Relationship Proposal</w:t>
      </w:r>
      <w:r w:rsidR="009726F5">
        <w:t>s</w:t>
      </w:r>
    </w:p>
    <w:p w14:paraId="199A156F" w14:textId="6D92E448" w:rsidR="009E2FEE" w:rsidRDefault="009E2FEE" w:rsidP="009E2FEE">
      <w:pPr>
        <w:rPr>
          <w:lang w:val="en-US"/>
        </w:rPr>
      </w:pPr>
    </w:p>
    <w:p w14:paraId="0EFCDCD9" w14:textId="77777777" w:rsidR="009726F5" w:rsidRPr="00CA47A1" w:rsidRDefault="009726F5" w:rsidP="009726F5">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15B12A61" w14:textId="77777777" w:rsidR="009726F5" w:rsidRDefault="009726F5" w:rsidP="009726F5">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8B391E5" w14:textId="4DD2E115" w:rsidR="009726F5" w:rsidRDefault="009726F5" w:rsidP="009726F5"/>
    <w:p w14:paraId="7A3B9078" w14:textId="77777777" w:rsidR="009726F5" w:rsidRPr="00C710B2" w:rsidRDefault="009726F5" w:rsidP="009726F5">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5A223FA8" w14:textId="77777777" w:rsidR="009726F5" w:rsidRDefault="009726F5" w:rsidP="009726F5">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E11C191" w14:textId="77777777" w:rsidR="009726F5" w:rsidRPr="00DD484B" w:rsidRDefault="009726F5" w:rsidP="009726F5"/>
    <w:p w14:paraId="53D74AAB" w14:textId="77777777" w:rsidR="009726F5" w:rsidRPr="00C710B2" w:rsidRDefault="009726F5" w:rsidP="009726F5">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5587165" w14:textId="77777777" w:rsidR="009726F5" w:rsidRDefault="009726F5" w:rsidP="009726F5"/>
    <w:p w14:paraId="2D02D90E" w14:textId="77777777" w:rsidR="009726F5" w:rsidRDefault="009726F5" w:rsidP="009726F5">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374C8E53" w14:textId="4C2B6F64" w:rsidR="009726F5" w:rsidRDefault="009726F5" w:rsidP="009E2FEE">
      <w:pPr>
        <w:rPr>
          <w:lang w:val="en-US"/>
        </w:rPr>
      </w:pPr>
    </w:p>
    <w:p w14:paraId="44159E68" w14:textId="77777777" w:rsidR="009726F5" w:rsidRPr="00C710B2" w:rsidRDefault="009726F5" w:rsidP="009726F5">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C6AE356" w14:textId="77777777" w:rsidR="009726F5" w:rsidRDefault="009726F5" w:rsidP="009726F5">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95D1C5B" w14:textId="77777777" w:rsidR="009726F5" w:rsidRDefault="009726F5" w:rsidP="009E2FEE">
      <w:pPr>
        <w:rPr>
          <w:lang w:val="en-US"/>
        </w:rPr>
      </w:pPr>
    </w:p>
    <w:p w14:paraId="7BC2D165" w14:textId="77777777" w:rsidR="009726F5" w:rsidRPr="009E2FEE" w:rsidRDefault="009726F5" w:rsidP="009E2FEE">
      <w:pPr>
        <w:rPr>
          <w:lang w:val="en-US"/>
        </w:rPr>
      </w:pPr>
    </w:p>
    <w:p w14:paraId="739E4C00" w14:textId="77777777" w:rsidR="009E2FEE" w:rsidRPr="00C710B2" w:rsidRDefault="009E2FEE" w:rsidP="009E2FEE">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1AD6A053" w14:textId="77777777" w:rsidR="009E2FEE" w:rsidRDefault="009E2FEE" w:rsidP="009E2FEE">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4E88DD4A" w14:textId="77777777" w:rsidR="009E2FEE" w:rsidRPr="009E2FEE" w:rsidRDefault="009E2FEE" w:rsidP="009E2FEE">
      <w:pPr>
        <w:rPr>
          <w:lang w:val="en-US"/>
        </w:rPr>
      </w:pPr>
    </w:p>
    <w:p w14:paraId="4A44DFD4" w14:textId="1654D1C2" w:rsidR="009E2FEE" w:rsidRDefault="009E2FEE" w:rsidP="009E2FEE">
      <w:pPr>
        <w:rPr>
          <w:lang w:val="en-US"/>
        </w:rPr>
      </w:pPr>
    </w:p>
    <w:p w14:paraId="416FF899" w14:textId="77777777" w:rsidR="009E2FEE" w:rsidRPr="00C710B2" w:rsidRDefault="009E2FEE" w:rsidP="009E2FEE">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FA0E6D6" w14:textId="77777777" w:rsidR="009E2FEE" w:rsidRDefault="009E2FEE" w:rsidP="009E2FEE">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EFFABD5" w14:textId="77777777" w:rsidR="009E2FEE" w:rsidRPr="009E2FEE" w:rsidRDefault="009E2FEE" w:rsidP="009E2FEE">
      <w:pPr>
        <w:rPr>
          <w:lang w:val="en-US"/>
        </w:rPr>
      </w:pPr>
    </w:p>
    <w:p w14:paraId="7BE818F3" w14:textId="77777777" w:rsidR="009E2FEE" w:rsidRPr="00CA47A1" w:rsidRDefault="009E2FEE" w:rsidP="009E2FEE">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2120B7B" w14:textId="77777777" w:rsidR="009E2FEE" w:rsidRDefault="009E2FEE" w:rsidP="009E2FEE">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261A91A" w14:textId="2C41D717" w:rsidR="00A21325" w:rsidRDefault="007A41D8" w:rsidP="00CA47A1">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lastRenderedPageBreak/>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w:t>
      </w:r>
      <w:proofErr w:type="spellStart"/>
      <w:r w:rsidRPr="00076298">
        <w:t>tted</w:t>
      </w:r>
      <w:proofErr w:type="spellEnd"/>
      <w:r w:rsidRPr="00076298">
        <w:t xml:space="preserve">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commentRangeStart w:id="72"/>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commentRangeEnd w:id="72"/>
      <w:r w:rsidR="00A55512">
        <w:rPr>
          <w:rStyle w:val="CommentReference"/>
          <w:rFonts w:ascii="Times New Roman" w:eastAsia="SimSun" w:hAnsi="Times New Roman"/>
          <w:lang w:val="en-US"/>
        </w:rPr>
        <w:commentReference w:id="72"/>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should to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E55677">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lastRenderedPageBreak/>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7777777" w:rsidR="00013A65" w:rsidRDefault="00013A65" w:rsidP="007A41D8"/>
    <w:p w14:paraId="50E55CFB" w14:textId="77777777" w:rsidR="007A41D8" w:rsidRDefault="007A41D8" w:rsidP="007A41D8">
      <w:pPr>
        <w:pStyle w:val="Heading2"/>
      </w:pPr>
      <w:bookmarkStart w:id="73" w:name="_Toc80031371"/>
      <w:r>
        <w:t>NPUSCH using PUR</w:t>
      </w:r>
      <w:bookmarkEnd w:id="73"/>
    </w:p>
    <w:p w14:paraId="0A2CED5E" w14:textId="77777777" w:rsidR="007A41D8" w:rsidRPr="00ED4ADE" w:rsidRDefault="007A41D8" w:rsidP="007A41D8"/>
    <w:p w14:paraId="789ADD00" w14:textId="77777777" w:rsidR="007A41D8" w:rsidRPr="00100D31" w:rsidRDefault="007A41D8" w:rsidP="007A41D8">
      <w:pPr>
        <w:pStyle w:val="Heading3"/>
      </w:pPr>
      <w:bookmarkStart w:id="74" w:name="_Toc80031372"/>
      <w:r>
        <w:t>Companies’ Observations and Proposals</w:t>
      </w:r>
      <w:bookmarkEnd w:id="74"/>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5" w:name="_Toc77862377"/>
            <w:r>
              <w:rPr>
                <w:lang w:val="en-GB"/>
              </w:rPr>
              <w:t>PUR enhancement on the RAR window has been agreed in RAN2, however, no related discussion has been started in RAN1.</w:t>
            </w:r>
            <w:bookmarkEnd w:id="75"/>
          </w:p>
          <w:p w14:paraId="091D048B" w14:textId="77777777" w:rsidR="007A41D8" w:rsidRDefault="007A41D8" w:rsidP="00760D8D">
            <w:pPr>
              <w:pStyle w:val="Proposal"/>
              <w:numPr>
                <w:ilvl w:val="0"/>
                <w:numId w:val="8"/>
              </w:numPr>
              <w:ind w:left="1310" w:hanging="1310"/>
              <w:rPr>
                <w:lang w:val="en-GB"/>
              </w:rPr>
            </w:pPr>
            <w:bookmarkStart w:id="76"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6"/>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7" w:name="_Toc80031373"/>
      <w:proofErr w:type="spellStart"/>
      <w:r w:rsidRPr="00302003">
        <w:rPr>
          <w:rStyle w:val="Heading2Char"/>
        </w:rPr>
        <w:lastRenderedPageBreak/>
        <w:t>K_offset</w:t>
      </w:r>
      <w:proofErr w:type="spellEnd"/>
      <w:r>
        <w:rPr>
          <w:rStyle w:val="Heading2Char"/>
        </w:rPr>
        <w:t xml:space="preserve"> Handling</w:t>
      </w:r>
      <w:bookmarkEnd w:id="77"/>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8" w:name="_Toc80031374"/>
      <w:proofErr w:type="spellStart"/>
      <w:r w:rsidRPr="00302003">
        <w:rPr>
          <w:rStyle w:val="Heading2Char"/>
        </w:rPr>
        <w:t>K_offset</w:t>
      </w:r>
      <w:proofErr w:type="spellEnd"/>
      <w:r w:rsidR="007E4DCF">
        <w:rPr>
          <w:rStyle w:val="Heading2Char"/>
        </w:rPr>
        <w:t xml:space="preserve"> at initial access</w:t>
      </w:r>
      <w:bookmarkEnd w:id="78"/>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9" w:name="_Toc80031375"/>
      <w:r>
        <w:t>Companies’ Observations and Proposals</w:t>
      </w:r>
      <w:bookmarkEnd w:id="79"/>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80" w:name="_Hlk80017247"/>
            <w:r>
              <w:rPr>
                <w:b/>
              </w:rPr>
              <w:t>Support cell-</w:t>
            </w:r>
            <w:r w:rsidRPr="008A1D49">
              <w:rPr>
                <w:b/>
              </w:rPr>
              <w:t xml:space="preserve">specific timing offset </w:t>
            </w:r>
            <w:r>
              <w:rPr>
                <w:b/>
              </w:rPr>
              <w:t>during initial access</w:t>
            </w:r>
            <w:bookmarkEnd w:id="80"/>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1"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1"/>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2" w:name="_Toc80031377"/>
      <w:proofErr w:type="spellStart"/>
      <w:r w:rsidRPr="00302003">
        <w:rPr>
          <w:rStyle w:val="Heading2Char"/>
        </w:rPr>
        <w:t>K_offset</w:t>
      </w:r>
      <w:proofErr w:type="spellEnd"/>
      <w:r>
        <w:rPr>
          <w:rStyle w:val="Heading2Char"/>
        </w:rPr>
        <w:t xml:space="preserve"> after initial access</w:t>
      </w:r>
      <w:bookmarkEnd w:id="82"/>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3" w:name="_Toc80031378"/>
      <w:r>
        <w:t>Companies’ Observations and Proposals</w:t>
      </w:r>
      <w:bookmarkEnd w:id="83"/>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lastRenderedPageBreak/>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4"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commentRangeStart w:id="85"/>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commentRangeEnd w:id="85"/>
      <w:r w:rsidR="00D046F6">
        <w:rPr>
          <w:rStyle w:val="CommentReference"/>
          <w:rFonts w:ascii="Times New Roman" w:hAnsi="Times New Roman" w:cs="Times New Roman"/>
        </w:rPr>
        <w:commentReference w:id="85"/>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r w:rsidRPr="00CB7BBE">
              <w:rPr>
                <w:rFonts w:ascii="Times New Roman" w:hAnsi="Times New Roman"/>
              </w:rPr>
              <w:t>Lenovo,MotoM</w:t>
            </w:r>
            <w:proofErr w:type="spell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 xml:space="preserve">Basically, we use the cell specific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and the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lastRenderedPageBreak/>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So from UE perspective, no beam-specific </w:t>
            </w:r>
            <w:proofErr w:type="spellStart"/>
            <w:r>
              <w:rPr>
                <w:rFonts w:eastAsia="DengXian"/>
              </w:rPr>
              <w:t>Koffset</w:t>
            </w:r>
            <w:proofErr w:type="spellEnd"/>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6" w:name="_Toc80031380"/>
      <w:bookmarkStart w:id="87" w:name="_Hlk80030196"/>
      <w:r w:rsidRPr="00302003">
        <w:rPr>
          <w:rStyle w:val="Heading2Char"/>
        </w:rPr>
        <w:t>UE specific TA</w:t>
      </w:r>
      <w:bookmarkEnd w:id="86"/>
      <w:r w:rsidRPr="00302003">
        <w:rPr>
          <w:rStyle w:val="Heading2Char"/>
        </w:rPr>
        <w:t xml:space="preserve"> </w:t>
      </w:r>
    </w:p>
    <w:bookmarkEnd w:id="8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8" w:name="_Toc80031381"/>
      <w:r>
        <w:t>Companies’ Observations and Proposals</w:t>
      </w:r>
      <w:bookmarkEnd w:id="88"/>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 xml:space="preserve">to avoid DL-UL subframe collision issue. In </w:t>
            </w:r>
            <w:r>
              <w:rPr>
                <w:i/>
                <w:color w:val="000000"/>
              </w:rPr>
              <w:lastRenderedPageBreak/>
              <w:t>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9" w:name="_Toc77862370"/>
            <w:r>
              <w:rPr>
                <w:lang w:val="en-GB"/>
              </w:rPr>
              <w:t>Deprioritize scheduling enhancement on UE-specific TA report in RRC_CONNECTED for Rel-17.</w:t>
            </w:r>
            <w:bookmarkEnd w:id="89"/>
          </w:p>
          <w:p w14:paraId="6EE14274" w14:textId="77777777" w:rsidR="0080669A" w:rsidRDefault="0080669A" w:rsidP="00760D8D">
            <w:pPr>
              <w:pStyle w:val="Proposal"/>
              <w:numPr>
                <w:ilvl w:val="0"/>
                <w:numId w:val="8"/>
              </w:numPr>
              <w:spacing w:after="240"/>
              <w:ind w:left="1310" w:hanging="1310"/>
              <w:rPr>
                <w:lang w:val="en-GB"/>
              </w:rPr>
            </w:pPr>
            <w:bookmarkStart w:id="90" w:name="_Toc77862371"/>
            <w:r>
              <w:rPr>
                <w:lang w:val="en-GB"/>
              </w:rPr>
              <w:t>If enabled by the network, the UE reports information about UE-specific TA pre-compensation at the random-access procedure (MSGA/MSG3 or MSG5) using a MAC CE.</w:t>
            </w:r>
            <w:bookmarkEnd w:id="90"/>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91"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91"/>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2"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2"/>
          </w:p>
          <w:p w14:paraId="67B8590E" w14:textId="77777777" w:rsidR="0080669A" w:rsidRDefault="0080669A" w:rsidP="00760D8D">
            <w:pPr>
              <w:pStyle w:val="Proposal"/>
              <w:numPr>
                <w:ilvl w:val="0"/>
                <w:numId w:val="8"/>
              </w:numPr>
              <w:rPr>
                <w:lang w:val="en-GB"/>
              </w:rPr>
            </w:pPr>
            <w:bookmarkStart w:id="93" w:name="_Toc77862372"/>
            <w:r>
              <w:rPr>
                <w:lang w:val="en-GB"/>
              </w:rPr>
              <w:t>If enabled by the network, the UE reports information about UE location during initial access, e.g., via MSG3 or MSG5 using a MAC CE command or RRC parameters.</w:t>
            </w:r>
            <w:bookmarkEnd w:id="93"/>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4" w:name="_Toc77862373"/>
            <w:r>
              <w:rPr>
                <w:lang w:val="en-GB"/>
              </w:rPr>
              <w:t>If enabled by the network, the UE reports information about UE location in RRC_CONNECTED using a MAC CE or an RRC message. The maximum update frequency is 1 minute for C-IoT devices.</w:t>
            </w:r>
            <w:bookmarkEnd w:id="94"/>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lastRenderedPageBreak/>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5" w:name="_Toc80031382"/>
      <w:r>
        <w:t xml:space="preserve">FIRST ROUND Discussion on </w:t>
      </w:r>
      <w:r w:rsidRPr="00C618C1">
        <w:rPr>
          <w:lang w:eastAsia="zh-CN"/>
        </w:rPr>
        <w:t>UE specific TA</w:t>
      </w:r>
      <w:bookmarkEnd w:id="95"/>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commentRangeStart w:id="96"/>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commentRangeEnd w:id="96"/>
      <w:r w:rsidR="008E66C6">
        <w:rPr>
          <w:rStyle w:val="CommentReference"/>
          <w:rFonts w:ascii="Times New Roman" w:eastAsia="SimSun" w:hAnsi="Times New Roman"/>
          <w:lang w:val="en-US"/>
        </w:rPr>
        <w:commentReference w:id="96"/>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lastRenderedPageBreak/>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t>
            </w:r>
            <w:commentRangeStart w:id="97"/>
            <w:r w:rsidRPr="004E4AC2">
              <w:t>We should discuss location based report to reduce  the overhead.</w:t>
            </w:r>
            <w:commentRangeEnd w:id="97"/>
            <w:r w:rsidR="00F3793A">
              <w:rPr>
                <w:rStyle w:val="CommentReference"/>
                <w:rFonts w:ascii="Times New Roman" w:eastAsia="SimSun" w:hAnsi="Times New Roman"/>
                <w:lang w:eastAsia="en-US"/>
              </w:rPr>
              <w:commentReference w:id="97"/>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 xml:space="preserve">We share other companies view that the TA reporting in IoT NTN aims to resolve different issues compared to that in NTN. </w:t>
            </w:r>
            <w:r>
              <w:rPr>
                <w:rFonts w:eastAsia="DengXian"/>
                <w:color w:val="C00000"/>
              </w:rPr>
              <w:lastRenderedPageBreak/>
              <w:t>We should have separate work on the TA reporting for IoT NTN.</w:t>
            </w:r>
          </w:p>
        </w:tc>
      </w:tr>
    </w:tbl>
    <w:p w14:paraId="2DBA880D" w14:textId="77777777" w:rsidR="00ED27D5" w:rsidRPr="008E4D0A" w:rsidRDefault="00ED27D5" w:rsidP="00C618C1"/>
    <w:p w14:paraId="724074B2" w14:textId="77777777" w:rsidR="00981B18" w:rsidRDefault="00981B18" w:rsidP="00981B18">
      <w:pPr>
        <w:pStyle w:val="Heading3"/>
      </w:pPr>
      <w:bookmarkStart w:id="98"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8"/>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9" w:name="_Toc80031384"/>
      <w:r>
        <w:t>Companies’ Observations and Proposals</w:t>
      </w:r>
      <w:bookmarkEnd w:id="99"/>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 </w:t>
            </w:r>
            <w:r>
              <w:rPr>
                <w:b/>
                <w:bCs/>
                <w:i/>
                <w:iCs/>
              </w:rPr>
              <w:t>n</w:t>
            </w:r>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100" w:name="_Toc80031385"/>
      <w:r>
        <w:rPr>
          <w:rStyle w:val="Heading2Char"/>
        </w:rPr>
        <w:t>Determining UE-</w:t>
      </w:r>
      <w:proofErr w:type="spellStart"/>
      <w:r>
        <w:rPr>
          <w:rStyle w:val="Heading2Char"/>
        </w:rPr>
        <w:t>eNB</w:t>
      </w:r>
      <w:proofErr w:type="spellEnd"/>
      <w:r>
        <w:rPr>
          <w:rStyle w:val="Heading2Char"/>
        </w:rPr>
        <w:t xml:space="preserve"> RTT</w:t>
      </w:r>
      <w:bookmarkEnd w:id="100"/>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lastRenderedPageBreak/>
        <w:t xml:space="preserve"> </w:t>
      </w:r>
      <w:bookmarkStart w:id="101" w:name="_Toc80031386"/>
      <w:r>
        <w:t>Companies’ Observations and Proposals</w:t>
      </w:r>
      <w:bookmarkEnd w:id="101"/>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02"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02"/>
          </w:p>
          <w:p w14:paraId="08F7876C" w14:textId="77777777" w:rsidR="009C2FC1" w:rsidRDefault="009C2FC1" w:rsidP="000E2581">
            <w:pPr>
              <w:pStyle w:val="Proposal"/>
              <w:numPr>
                <w:ilvl w:val="0"/>
                <w:numId w:val="8"/>
              </w:numPr>
              <w:ind w:left="1310" w:hanging="1310"/>
              <w:rPr>
                <w:lang w:val="en-GB"/>
              </w:rPr>
            </w:pPr>
            <w:bookmarkStart w:id="103"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03"/>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4" w:name="_Toc80031387"/>
      <w:r>
        <w:rPr>
          <w:rStyle w:val="Heading2Char"/>
        </w:rPr>
        <w:t>Other issues and relationships</w:t>
      </w:r>
      <w:bookmarkEnd w:id="104"/>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5" w:name="_Toc80031388"/>
      <w:r>
        <w:rPr>
          <w:rStyle w:val="Heading2Char"/>
        </w:rPr>
        <w:t>Half duplex operation</w:t>
      </w:r>
      <w:bookmarkEnd w:id="105"/>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6" w:name="_Toc80031389"/>
      <w:r>
        <w:t>Companies’ Observations and Proposals</w:t>
      </w:r>
      <w:bookmarkEnd w:id="106"/>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7" w:name="_Toc79168019"/>
            <w:r>
              <w:rPr>
                <w:sz w:val="22"/>
              </w:rPr>
              <w:t>Proposal 3: On UL scheduling for FDD-HD, it is sufficient to use UE-specific TA to avoid UL-DL collisions in FDD-HD</w:t>
            </w:r>
            <w:bookmarkEnd w:id="107"/>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8" w:name="_Toc80031390"/>
      <w:r>
        <w:rPr>
          <w:iCs/>
        </w:rPr>
        <w:t xml:space="preserve">UL </w:t>
      </w:r>
      <w:r>
        <w:t>transmission gap in IoT NTN</w:t>
      </w:r>
      <w:bookmarkEnd w:id="108"/>
    </w:p>
    <w:p w14:paraId="6D5F0BF5" w14:textId="77777777" w:rsidR="0061005D" w:rsidRPr="0061005D" w:rsidRDefault="0061005D" w:rsidP="0061005D"/>
    <w:p w14:paraId="2E92E32B" w14:textId="77777777" w:rsidR="0061005D" w:rsidRPr="00100D31" w:rsidRDefault="0061005D" w:rsidP="0061005D">
      <w:pPr>
        <w:pStyle w:val="Heading3"/>
      </w:pPr>
      <w:bookmarkStart w:id="109" w:name="_Toc80031391"/>
      <w:r>
        <w:lastRenderedPageBreak/>
        <w:t>Companies’ Observations and Proposals</w:t>
      </w:r>
      <w:bookmarkEnd w:id="109"/>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10" w:name="OLE_LINK1"/>
            <w:bookmarkStart w:id="111" w:name="OLE_LINK2"/>
            <w:r>
              <w:rPr>
                <w:b/>
                <w:i/>
              </w:rPr>
              <w:t>Proposal 3:</w:t>
            </w:r>
            <w:bookmarkEnd w:id="110"/>
            <w:bookmarkEnd w:id="111"/>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12" w:name="_Toc80031392"/>
      <w:r>
        <w:t>PDCCH monitoring restrictions</w:t>
      </w:r>
      <w:bookmarkEnd w:id="112"/>
    </w:p>
    <w:p w14:paraId="58B5CEA6" w14:textId="77777777" w:rsidR="0061005D" w:rsidRPr="0061005D" w:rsidRDefault="0061005D" w:rsidP="0061005D"/>
    <w:p w14:paraId="51C599BC" w14:textId="77777777" w:rsidR="0061005D" w:rsidRPr="00100D31" w:rsidRDefault="0061005D" w:rsidP="0061005D">
      <w:pPr>
        <w:pStyle w:val="Heading3"/>
      </w:pPr>
      <w:bookmarkStart w:id="113" w:name="_Toc80031393"/>
      <w:r>
        <w:t>Companies’ Observations and Proposals</w:t>
      </w:r>
      <w:bookmarkEnd w:id="113"/>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4"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4"/>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5" w:name="_Toc80031394"/>
      <w:r>
        <w:rPr>
          <w:lang w:eastAsia="zh-CN"/>
        </w:rPr>
        <w:t>Timing offset for the start of RAR window</w:t>
      </w:r>
      <w:bookmarkEnd w:id="115"/>
    </w:p>
    <w:p w14:paraId="2D8B2291" w14:textId="77777777" w:rsidR="009C1878" w:rsidRPr="0061005D" w:rsidRDefault="009C1878" w:rsidP="009C1878"/>
    <w:p w14:paraId="4DB9F27C" w14:textId="77777777" w:rsidR="009C1878" w:rsidRPr="00100D31" w:rsidRDefault="009C1878" w:rsidP="009C1878">
      <w:pPr>
        <w:pStyle w:val="Heading3"/>
      </w:pPr>
      <w:bookmarkStart w:id="116" w:name="_Toc80031395"/>
      <w:r>
        <w:t>Companies’ Observations and Proposals</w:t>
      </w:r>
      <w:bookmarkEnd w:id="116"/>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7" w:name="_Toc77862368"/>
            <w:r>
              <w:rPr>
                <w:lang w:val="en-GB"/>
              </w:rPr>
              <w:t xml:space="preserve">For the start of the RAR window, use K_RTT to start the RAR window at the subframe containing the end of the last preamble repetition plus K_RTT and the legacy X subframes, where K_RTT is </w:t>
            </w:r>
            <w:r>
              <w:rPr>
                <w:lang w:val="en-GB"/>
              </w:rPr>
              <w:lastRenderedPageBreak/>
              <w:t>UE-</w:t>
            </w:r>
            <w:proofErr w:type="spellStart"/>
            <w:r>
              <w:rPr>
                <w:lang w:val="en-GB"/>
              </w:rPr>
              <w:t>eNB</w:t>
            </w:r>
            <w:proofErr w:type="spellEnd"/>
            <w:r>
              <w:rPr>
                <w:lang w:val="en-GB"/>
              </w:rPr>
              <w:t xml:space="preserve"> RTT.</w:t>
            </w:r>
            <w:bookmarkEnd w:id="117"/>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8" w:name="_Toc80031396"/>
      <w:r>
        <w:t>I</w:t>
      </w:r>
      <w:r w:rsidR="00480CFF">
        <w:t>nterrupted downlink</w:t>
      </w:r>
      <w:r w:rsidR="00A02B4A">
        <w:t>/Guard</w:t>
      </w:r>
      <w:r w:rsidR="00480CFF">
        <w:t xml:space="preserve"> subframes</w:t>
      </w:r>
      <w:bookmarkEnd w:id="118"/>
    </w:p>
    <w:p w14:paraId="64FF2745" w14:textId="77777777" w:rsidR="00480CFF" w:rsidRPr="00480CFF" w:rsidRDefault="00480CFF" w:rsidP="00480CFF"/>
    <w:p w14:paraId="7BED72C3" w14:textId="77777777" w:rsidR="00480CFF" w:rsidRPr="00100D31" w:rsidRDefault="00480CFF" w:rsidP="00480CFF">
      <w:pPr>
        <w:pStyle w:val="Heading3"/>
      </w:pPr>
      <w:bookmarkStart w:id="119" w:name="_Toc80031397"/>
      <w:r>
        <w:t>Companies’ Observations and Proposals</w:t>
      </w:r>
      <w:bookmarkEnd w:id="119"/>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20" w:name="_Toc69124184"/>
      <w:bookmarkStart w:id="121" w:name="_Toc80031398"/>
      <w:r>
        <w:t xml:space="preserve">FL </w:t>
      </w:r>
      <w:r w:rsidR="0054699C">
        <w:t xml:space="preserve">Analysis and </w:t>
      </w:r>
      <w:r>
        <w:t>Proposal</w:t>
      </w:r>
      <w:r w:rsidR="005329DB">
        <w:t>s</w:t>
      </w:r>
      <w:r>
        <w:t xml:space="preserve"> on Timing relationships</w:t>
      </w:r>
      <w:bookmarkEnd w:id="120"/>
      <w:r>
        <w:t xml:space="preserve"> and TA</w:t>
      </w:r>
      <w:bookmarkEnd w:id="121"/>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eastAsia="zh-CN"/>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 xml:space="preserve">FL Proposal </w:t>
      </w:r>
      <w:commentRangeStart w:id="122"/>
      <w:r w:rsidRPr="00787679">
        <w:rPr>
          <w:b/>
          <w:bCs/>
          <w:sz w:val="18"/>
          <w:szCs w:val="18"/>
          <w:highlight w:val="cyan"/>
          <w:u w:val="single"/>
          <w:lang w:eastAsia="x-none"/>
        </w:rPr>
        <w:t>1.</w:t>
      </w:r>
      <w:r w:rsidR="004415DF" w:rsidRPr="00787679">
        <w:rPr>
          <w:b/>
          <w:bCs/>
          <w:sz w:val="18"/>
          <w:szCs w:val="18"/>
          <w:highlight w:val="cyan"/>
          <w:u w:val="single"/>
          <w:lang w:eastAsia="x-none"/>
        </w:rPr>
        <w:t>2</w:t>
      </w:r>
      <w:r w:rsidRPr="00787679">
        <w:rPr>
          <w:b/>
          <w:bCs/>
          <w:sz w:val="18"/>
          <w:szCs w:val="18"/>
          <w:highlight w:val="cyan"/>
          <w:u w:val="single"/>
          <w:lang w:eastAsia="x-none"/>
        </w:rPr>
        <w:t>-2:</w:t>
      </w:r>
      <w:commentRangeEnd w:id="122"/>
      <w:r w:rsidR="00E2685A">
        <w:rPr>
          <w:rStyle w:val="CommentReference"/>
          <w:rFonts w:ascii="Times New Roman" w:eastAsia="SimSun" w:hAnsi="Times New Roman"/>
          <w:lang w:val="en-US"/>
        </w:rPr>
        <w:commentReference w:id="122"/>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23" w:name="_Toc80031399"/>
      <w:r>
        <w:t>Reference</w:t>
      </w:r>
      <w:r w:rsidR="00BE0157">
        <w:t>d Documents</w:t>
      </w:r>
      <w:bookmarkEnd w:id="123"/>
    </w:p>
    <w:p w14:paraId="4CAAC98F" w14:textId="4F035F12" w:rsidR="00107281" w:rsidRDefault="00107281"/>
    <w:p w14:paraId="35D58164" w14:textId="77777777" w:rsidR="00A259D6" w:rsidRDefault="008C0700" w:rsidP="00A259D6">
      <w:pPr>
        <w:rPr>
          <w:lang w:eastAsia="x-none"/>
        </w:rPr>
      </w:pPr>
      <w:hyperlink r:id="rId22"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8C0700" w:rsidP="00A259D6">
      <w:pPr>
        <w:rPr>
          <w:lang w:eastAsia="x-none"/>
        </w:rPr>
      </w:pPr>
      <w:hyperlink r:id="rId23"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8C0700" w:rsidP="00A259D6">
      <w:pPr>
        <w:rPr>
          <w:lang w:eastAsia="x-none"/>
        </w:rPr>
      </w:pPr>
      <w:hyperlink r:id="rId24"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8C0700" w:rsidP="00A259D6">
      <w:pPr>
        <w:rPr>
          <w:lang w:eastAsia="x-none"/>
        </w:rPr>
      </w:pPr>
      <w:hyperlink r:id="rId25"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C0700" w:rsidP="00A259D6">
      <w:pPr>
        <w:rPr>
          <w:lang w:eastAsia="x-none"/>
        </w:rPr>
      </w:pPr>
      <w:hyperlink r:id="rId26"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C0700" w:rsidP="00A259D6">
      <w:pPr>
        <w:rPr>
          <w:lang w:eastAsia="x-none"/>
        </w:rPr>
      </w:pPr>
      <w:hyperlink r:id="rId27"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C0700" w:rsidP="00A259D6">
      <w:pPr>
        <w:rPr>
          <w:lang w:eastAsia="x-none"/>
        </w:rPr>
      </w:pPr>
      <w:hyperlink r:id="rId28"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C0700" w:rsidP="00A259D6">
      <w:pPr>
        <w:rPr>
          <w:lang w:eastAsia="x-none"/>
        </w:rPr>
      </w:pPr>
      <w:hyperlink r:id="rId29"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C0700" w:rsidP="00A259D6">
      <w:pPr>
        <w:rPr>
          <w:lang w:eastAsia="x-none"/>
        </w:rPr>
      </w:pPr>
      <w:hyperlink r:id="rId30"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C0700" w:rsidP="00A259D6">
      <w:pPr>
        <w:rPr>
          <w:lang w:eastAsia="x-none"/>
        </w:rPr>
      </w:pPr>
      <w:hyperlink r:id="rId31"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8C0700" w:rsidP="00A259D6">
      <w:pPr>
        <w:rPr>
          <w:lang w:eastAsia="x-none"/>
        </w:rPr>
      </w:pPr>
      <w:hyperlink r:id="rId32"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C0700" w:rsidP="00A259D6">
      <w:pPr>
        <w:rPr>
          <w:lang w:eastAsia="x-none"/>
        </w:rPr>
      </w:pPr>
      <w:hyperlink r:id="rId33"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C0700" w:rsidP="00A259D6">
      <w:pPr>
        <w:rPr>
          <w:lang w:eastAsia="x-none"/>
        </w:rPr>
      </w:pPr>
      <w:hyperlink r:id="rId34"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C0700" w:rsidP="00A259D6">
      <w:pPr>
        <w:rPr>
          <w:lang w:eastAsia="x-none"/>
        </w:rPr>
      </w:pPr>
      <w:hyperlink r:id="rId35"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8C0700" w:rsidP="00A259D6">
      <w:pPr>
        <w:rPr>
          <w:lang w:eastAsia="x-none"/>
        </w:rPr>
      </w:pPr>
      <w:hyperlink r:id="rId36"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C0700" w:rsidP="00A259D6">
      <w:pPr>
        <w:rPr>
          <w:lang w:eastAsia="x-none"/>
        </w:rPr>
      </w:pPr>
      <w:hyperlink r:id="rId37"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C0700" w:rsidP="00A259D6">
      <w:pPr>
        <w:rPr>
          <w:lang w:eastAsia="x-none"/>
        </w:rPr>
      </w:pPr>
      <w:hyperlink r:id="rId38"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C0700" w:rsidP="00A259D6">
      <w:pPr>
        <w:rPr>
          <w:lang w:eastAsia="x-none"/>
        </w:rPr>
      </w:pPr>
      <w:hyperlink r:id="rId39"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C0700" w:rsidP="00A259D6">
      <w:pPr>
        <w:rPr>
          <w:lang w:eastAsia="x-none"/>
        </w:rPr>
      </w:pPr>
      <w:hyperlink r:id="rId40"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C0700" w:rsidP="00A259D6">
      <w:pPr>
        <w:rPr>
          <w:lang w:eastAsia="x-none"/>
        </w:rPr>
      </w:pPr>
      <w:hyperlink r:id="rId41"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Beale, Martin" w:date="2021-08-18T04:45:00Z" w:initials="BM">
    <w:p w14:paraId="21CC04D7" w14:textId="77777777" w:rsidR="00A55512" w:rsidRDefault="00A55512">
      <w:pPr>
        <w:pStyle w:val="CommentText"/>
      </w:pPr>
      <w:r>
        <w:rPr>
          <w:rStyle w:val="CommentReference"/>
        </w:rPr>
        <w:annotationRef/>
      </w:r>
      <w:r w:rsidR="00BC0D22">
        <w:t>I tend to agree with the comments that we do not need to update this timing relationship. I think the spec really just says that the UE should retransmit the preamble as soon as possible.</w:t>
      </w:r>
    </w:p>
    <w:p w14:paraId="4EBAEC47" w14:textId="77777777" w:rsidR="00BC0D22" w:rsidRDefault="00BC0D22">
      <w:pPr>
        <w:pStyle w:val="CommentText"/>
      </w:pPr>
    </w:p>
    <w:p w14:paraId="4F246FB8" w14:textId="3AFBA970" w:rsidR="00BC0D22" w:rsidRDefault="00BC0D22">
      <w:pPr>
        <w:pStyle w:val="CommentText"/>
      </w:pPr>
      <w:r>
        <w:t>Basically, I think this is a low priority</w:t>
      </w:r>
      <w:r w:rsidR="00B87B66">
        <w:t>. If we complete the work item without having agreed to this, I would be OK. If there is a critical issue that is spotted during the maintenance phase, we can deal with this in the mainten</w:t>
      </w:r>
      <w:r w:rsidR="00811303">
        <w:t xml:space="preserve">ance phase. </w:t>
      </w:r>
      <w:r w:rsidR="00811303" w:rsidRPr="00811303">
        <w:rPr>
          <w:color w:val="FF0000"/>
        </w:rPr>
        <w:t>Note: we should not be talking about “maintenance phase” in GTW.</w:t>
      </w:r>
    </w:p>
  </w:comment>
  <w:comment w:id="85" w:author="Beale, Martin" w:date="2021-08-18T04:50:00Z" w:initials="BM">
    <w:p w14:paraId="088A679B" w14:textId="4B2438E0" w:rsidR="00D046F6" w:rsidRDefault="00D046F6">
      <w:pPr>
        <w:pStyle w:val="CommentText"/>
      </w:pPr>
      <w:r>
        <w:rPr>
          <w:rStyle w:val="CommentReference"/>
        </w:rPr>
        <w:annotationRef/>
      </w:r>
      <w:r w:rsidR="00FD1937">
        <w:t>We don’t need to deal with this in GTW. It seems that we can just delete 2b in the next round of email discussion.</w:t>
      </w:r>
    </w:p>
  </w:comment>
  <w:comment w:id="96" w:author="Beale, Martin" w:date="2021-08-18T04:53:00Z" w:initials="BM">
    <w:p w14:paraId="1845BACF" w14:textId="794ACCDC" w:rsidR="008E66C6" w:rsidRDefault="008E66C6">
      <w:pPr>
        <w:pStyle w:val="CommentText"/>
      </w:pPr>
      <w:r>
        <w:rPr>
          <w:rStyle w:val="CommentReference"/>
        </w:rPr>
        <w:annotationRef/>
      </w:r>
      <w:r>
        <w:t>I think we should look at this after the GTW, in an updated email discus</w:t>
      </w:r>
      <w:r w:rsidR="00E15DD8">
        <w:t xml:space="preserve">sion. I think the point that “the usage of UE-specific TA is different between </w:t>
      </w:r>
      <w:r w:rsidR="0044664C">
        <w:t>NR-NTN and IoT-NTN” is an interesting observation and this probably would motivate us to consider this separately to NR-NTN</w:t>
      </w:r>
    </w:p>
  </w:comment>
  <w:comment w:id="97" w:author="Beale, Martin" w:date="2021-08-18T04:52:00Z" w:initials="BM">
    <w:p w14:paraId="7B4A9A45" w14:textId="25F3D9FB" w:rsidR="00F3793A" w:rsidRDefault="00F3793A">
      <w:pPr>
        <w:pStyle w:val="CommentText"/>
      </w:pPr>
      <w:r>
        <w:rPr>
          <w:rStyle w:val="CommentReference"/>
        </w:rPr>
        <w:annotationRef/>
      </w:r>
      <w:r>
        <w:t>Seems like Nokia support us</w:t>
      </w:r>
    </w:p>
  </w:comment>
  <w:comment w:id="122" w:author="Beale, Martin" w:date="2021-08-18T04:57:00Z" w:initials="BM">
    <w:p w14:paraId="072588B8" w14:textId="211A8101" w:rsidR="00E2685A" w:rsidRDefault="00E2685A">
      <w:pPr>
        <w:pStyle w:val="CommentText"/>
      </w:pPr>
      <w:r>
        <w:rPr>
          <w:rStyle w:val="CommentReference"/>
        </w:rPr>
        <w:annotationRef/>
      </w:r>
      <w:r>
        <w:t xml:space="preserve">I think the numbering </w:t>
      </w:r>
      <w:r w:rsidR="00F55A07">
        <w:t>needs to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246FB8" w15:done="0"/>
  <w15:commentEx w15:paraId="088A679B" w15:done="0"/>
  <w15:commentEx w15:paraId="1845BACF" w15:done="0"/>
  <w15:commentEx w15:paraId="7B4A9A45" w15:done="0"/>
  <w15:commentEx w15:paraId="072588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0EFD" w16cex:dateUtc="2021-08-18T03:45:00Z"/>
  <w16cex:commentExtensible w16cex:durableId="24C7100A" w16cex:dateUtc="2021-08-18T03:50:00Z"/>
  <w16cex:commentExtensible w16cex:durableId="24C710C4" w16cex:dateUtc="2021-08-18T03:53:00Z"/>
  <w16cex:commentExtensible w16cex:durableId="24C71087" w16cex:dateUtc="2021-08-18T03:52:00Z"/>
  <w16cex:commentExtensible w16cex:durableId="24C711AE" w16cex:dateUtc="2021-08-18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246FB8" w16cid:durableId="24C70EFD"/>
  <w16cid:commentId w16cid:paraId="088A679B" w16cid:durableId="24C7100A"/>
  <w16cid:commentId w16cid:paraId="1845BACF" w16cid:durableId="24C710C4"/>
  <w16cid:commentId w16cid:paraId="7B4A9A45" w16cid:durableId="24C71087"/>
  <w16cid:commentId w16cid:paraId="072588B8" w16cid:durableId="24C711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F411" w14:textId="77777777" w:rsidR="008C0700" w:rsidRDefault="008C0700" w:rsidP="00EE1A16">
      <w:r>
        <w:separator/>
      </w:r>
    </w:p>
  </w:endnote>
  <w:endnote w:type="continuationSeparator" w:id="0">
    <w:p w14:paraId="2CC21119" w14:textId="77777777" w:rsidR="008C0700" w:rsidRDefault="008C0700" w:rsidP="00EE1A16">
      <w:r>
        <w:continuationSeparator/>
      </w:r>
    </w:p>
  </w:endnote>
  <w:endnote w:type="continuationNotice" w:id="1">
    <w:p w14:paraId="7E8BD93C" w14:textId="77777777" w:rsidR="008C0700" w:rsidRDefault="008C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129B0" w14:textId="77777777" w:rsidR="008C0700" w:rsidRDefault="008C0700" w:rsidP="00EE1A16">
      <w:r>
        <w:separator/>
      </w:r>
    </w:p>
  </w:footnote>
  <w:footnote w:type="continuationSeparator" w:id="0">
    <w:p w14:paraId="7B59721C" w14:textId="77777777" w:rsidR="008C0700" w:rsidRDefault="008C0700" w:rsidP="00EE1A16">
      <w:r>
        <w:continuationSeparator/>
      </w:r>
    </w:p>
  </w:footnote>
  <w:footnote w:type="continuationNotice" w:id="1">
    <w:p w14:paraId="6CC390DC" w14:textId="77777777" w:rsidR="008C0700" w:rsidRDefault="008C0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1ED3"/>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C5DD2"/>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16553"/>
    <w:rsid w:val="002271EE"/>
    <w:rsid w:val="0023024C"/>
    <w:rsid w:val="002326BF"/>
    <w:rsid w:val="002340B1"/>
    <w:rsid w:val="002421CC"/>
    <w:rsid w:val="00246C0C"/>
    <w:rsid w:val="00246C48"/>
    <w:rsid w:val="00246C84"/>
    <w:rsid w:val="0025099A"/>
    <w:rsid w:val="002515FF"/>
    <w:rsid w:val="00252C72"/>
    <w:rsid w:val="002539F1"/>
    <w:rsid w:val="00256898"/>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3E9A"/>
    <w:rsid w:val="00294089"/>
    <w:rsid w:val="00294239"/>
    <w:rsid w:val="0029487C"/>
    <w:rsid w:val="00294E3A"/>
    <w:rsid w:val="00294EDA"/>
    <w:rsid w:val="002A3274"/>
    <w:rsid w:val="002A7705"/>
    <w:rsid w:val="002B2F4F"/>
    <w:rsid w:val="002B3E8B"/>
    <w:rsid w:val="002B41D6"/>
    <w:rsid w:val="002C1482"/>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9638B"/>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6BB"/>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64C"/>
    <w:rsid w:val="00446A94"/>
    <w:rsid w:val="00450110"/>
    <w:rsid w:val="00450186"/>
    <w:rsid w:val="00450A53"/>
    <w:rsid w:val="00456E21"/>
    <w:rsid w:val="004575FC"/>
    <w:rsid w:val="004610C4"/>
    <w:rsid w:val="00462AD0"/>
    <w:rsid w:val="00463CD1"/>
    <w:rsid w:val="00464EF6"/>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6E90"/>
    <w:rsid w:val="00527BA5"/>
    <w:rsid w:val="005329DB"/>
    <w:rsid w:val="00537CBA"/>
    <w:rsid w:val="0054018C"/>
    <w:rsid w:val="00540970"/>
    <w:rsid w:val="0054141B"/>
    <w:rsid w:val="00541520"/>
    <w:rsid w:val="00543D48"/>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3E90"/>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12B21"/>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2CE0"/>
    <w:rsid w:val="006842F7"/>
    <w:rsid w:val="006862C2"/>
    <w:rsid w:val="00687258"/>
    <w:rsid w:val="00687878"/>
    <w:rsid w:val="00687ECA"/>
    <w:rsid w:val="0069187D"/>
    <w:rsid w:val="00693251"/>
    <w:rsid w:val="00693F62"/>
    <w:rsid w:val="0069490A"/>
    <w:rsid w:val="00695513"/>
    <w:rsid w:val="00695F37"/>
    <w:rsid w:val="00697A9E"/>
    <w:rsid w:val="006A082A"/>
    <w:rsid w:val="006A1048"/>
    <w:rsid w:val="006A22D9"/>
    <w:rsid w:val="006A2FC2"/>
    <w:rsid w:val="006A5F42"/>
    <w:rsid w:val="006A71BF"/>
    <w:rsid w:val="006B1334"/>
    <w:rsid w:val="006B56E8"/>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4281"/>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D6D8F"/>
    <w:rsid w:val="007E270A"/>
    <w:rsid w:val="007E285D"/>
    <w:rsid w:val="007E44A9"/>
    <w:rsid w:val="007E4DCF"/>
    <w:rsid w:val="007E7FED"/>
    <w:rsid w:val="007F0DE8"/>
    <w:rsid w:val="007F2B66"/>
    <w:rsid w:val="007F2DE6"/>
    <w:rsid w:val="007F3CFF"/>
    <w:rsid w:val="007F4F56"/>
    <w:rsid w:val="007F53DD"/>
    <w:rsid w:val="007F7A2F"/>
    <w:rsid w:val="00802DC4"/>
    <w:rsid w:val="0080669A"/>
    <w:rsid w:val="00807718"/>
    <w:rsid w:val="00811303"/>
    <w:rsid w:val="0081191E"/>
    <w:rsid w:val="008124FE"/>
    <w:rsid w:val="00812976"/>
    <w:rsid w:val="00821D40"/>
    <w:rsid w:val="008255BB"/>
    <w:rsid w:val="00830705"/>
    <w:rsid w:val="00830A40"/>
    <w:rsid w:val="00830B70"/>
    <w:rsid w:val="0083173A"/>
    <w:rsid w:val="00834B30"/>
    <w:rsid w:val="00836224"/>
    <w:rsid w:val="00840831"/>
    <w:rsid w:val="0084526C"/>
    <w:rsid w:val="0084650B"/>
    <w:rsid w:val="008468AC"/>
    <w:rsid w:val="00850879"/>
    <w:rsid w:val="00850FD9"/>
    <w:rsid w:val="008522AD"/>
    <w:rsid w:val="00853968"/>
    <w:rsid w:val="008554EB"/>
    <w:rsid w:val="00855D94"/>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700"/>
    <w:rsid w:val="008C0CD8"/>
    <w:rsid w:val="008C32CD"/>
    <w:rsid w:val="008C53F7"/>
    <w:rsid w:val="008D0893"/>
    <w:rsid w:val="008D4193"/>
    <w:rsid w:val="008D4692"/>
    <w:rsid w:val="008E117A"/>
    <w:rsid w:val="008E4640"/>
    <w:rsid w:val="008E4D0A"/>
    <w:rsid w:val="008E529B"/>
    <w:rsid w:val="008E66C6"/>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26F5"/>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2FEE"/>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1AF4"/>
    <w:rsid w:val="00A425EA"/>
    <w:rsid w:val="00A42AF4"/>
    <w:rsid w:val="00A44BB3"/>
    <w:rsid w:val="00A45062"/>
    <w:rsid w:val="00A52A54"/>
    <w:rsid w:val="00A5551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3EA4"/>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2365"/>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87B66"/>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0D22"/>
    <w:rsid w:val="00BC27EA"/>
    <w:rsid w:val="00BC2DA1"/>
    <w:rsid w:val="00BC4999"/>
    <w:rsid w:val="00BC519E"/>
    <w:rsid w:val="00BD016C"/>
    <w:rsid w:val="00BD114C"/>
    <w:rsid w:val="00BE0157"/>
    <w:rsid w:val="00BE03CA"/>
    <w:rsid w:val="00BE567B"/>
    <w:rsid w:val="00BF20C0"/>
    <w:rsid w:val="00BF2497"/>
    <w:rsid w:val="00BF3011"/>
    <w:rsid w:val="00C001CB"/>
    <w:rsid w:val="00C02894"/>
    <w:rsid w:val="00C02F41"/>
    <w:rsid w:val="00C034E7"/>
    <w:rsid w:val="00C05515"/>
    <w:rsid w:val="00C06D19"/>
    <w:rsid w:val="00C073C1"/>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3EF0"/>
    <w:rsid w:val="00C96598"/>
    <w:rsid w:val="00C974C1"/>
    <w:rsid w:val="00C97829"/>
    <w:rsid w:val="00C97D5E"/>
    <w:rsid w:val="00CA02B5"/>
    <w:rsid w:val="00CA2181"/>
    <w:rsid w:val="00CA392C"/>
    <w:rsid w:val="00CA3D7D"/>
    <w:rsid w:val="00CA47A1"/>
    <w:rsid w:val="00CA5044"/>
    <w:rsid w:val="00CA7B2A"/>
    <w:rsid w:val="00CB09B1"/>
    <w:rsid w:val="00CB2DF2"/>
    <w:rsid w:val="00CB32E4"/>
    <w:rsid w:val="00CB4873"/>
    <w:rsid w:val="00CB497C"/>
    <w:rsid w:val="00CB50F7"/>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390C"/>
    <w:rsid w:val="00D046F6"/>
    <w:rsid w:val="00D06978"/>
    <w:rsid w:val="00D139BA"/>
    <w:rsid w:val="00D14179"/>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15DD8"/>
    <w:rsid w:val="00E2685A"/>
    <w:rsid w:val="00E27A0A"/>
    <w:rsid w:val="00E300A8"/>
    <w:rsid w:val="00E3332A"/>
    <w:rsid w:val="00E35CA0"/>
    <w:rsid w:val="00E35E09"/>
    <w:rsid w:val="00E403F3"/>
    <w:rsid w:val="00E41968"/>
    <w:rsid w:val="00E41997"/>
    <w:rsid w:val="00E465AC"/>
    <w:rsid w:val="00E47308"/>
    <w:rsid w:val="00E507E1"/>
    <w:rsid w:val="00E50BDC"/>
    <w:rsid w:val="00E52880"/>
    <w:rsid w:val="00E52AA7"/>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3793A"/>
    <w:rsid w:val="00F41A94"/>
    <w:rsid w:val="00F4312D"/>
    <w:rsid w:val="00F44333"/>
    <w:rsid w:val="00F47B65"/>
    <w:rsid w:val="00F531D4"/>
    <w:rsid w:val="00F539FC"/>
    <w:rsid w:val="00F55274"/>
    <w:rsid w:val="00F55A07"/>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A1D02"/>
    <w:rsid w:val="00FB2456"/>
    <w:rsid w:val="00FB6EF2"/>
    <w:rsid w:val="00FB786A"/>
    <w:rsid w:val="00FC0332"/>
    <w:rsid w:val="00FC376F"/>
    <w:rsid w:val="00FC4B1E"/>
    <w:rsid w:val="00FD1937"/>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hyperlink" Target="file:///D:\Documents\3GPP%20documents\RAN1\TSGR1_106-e\Docs\R1-2106824.zip" TargetMode="External"/><Relationship Id="rId39"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yperlink" Target="file:///D:\Documents\3GPP%20documents\RAN1\TSGR1_106-e\Docs\R1-210743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png"/><Relationship Id="rId25" Type="http://schemas.openxmlformats.org/officeDocument/2006/relationships/hyperlink" Target="file:///D:\Documents\3GPP%20documents\RAN1\TSGR1_106-e\Docs\R1-2106761.zip" TargetMode="External"/><Relationship Id="rId33" Type="http://schemas.openxmlformats.org/officeDocument/2006/relationships/hyperlink" Target="file:///D:\Documents\3GPP%20documents\RAN1\TSGR1_106-e\Docs\R1-2107292.zip" TargetMode="External"/><Relationship Id="rId38" Type="http://schemas.openxmlformats.org/officeDocument/2006/relationships/hyperlink" Target="file:///D:\Documents\3GPP%20documents\RAN1\TSGR1_106-e\Docs\R1-2107780.zip"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5.emf"/><Relationship Id="rId29" Type="http://schemas.openxmlformats.org/officeDocument/2006/relationships/hyperlink" Target="file:///D:\Documents\3GPP%20documents\RAN1\TSGR1_106-e\Docs\R1-2107048.zip" TargetMode="External"/><Relationship Id="rId41" Type="http://schemas.openxmlformats.org/officeDocument/2006/relationships/hyperlink" Target="file:///D:\Documents\3GPP%20documents\RAN1\TSGR1_106-e\Docs\R1-21080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720.zip" TargetMode="External"/><Relationship Id="rId32" Type="http://schemas.openxmlformats.org/officeDocument/2006/relationships/hyperlink" Target="file:///D:\Documents\3GPP%20documents\RAN1\TSGR1_106-e\Docs\R1-2107248.zip" TargetMode="External"/><Relationship Id="rId37" Type="http://schemas.openxmlformats.org/officeDocument/2006/relationships/hyperlink" Target="file:///D:\Documents\3GPP%20documents\RAN1\TSGR1_106-e\Docs\R1-2107773.zip" TargetMode="External"/><Relationship Id="rId40" Type="http://schemas.openxmlformats.org/officeDocument/2006/relationships/hyperlink" Target="file:///D:\Documents\3GPP%20documents\RAN1\TSGR1_106-e\Docs\R1-2107943.zip"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file:///D:\Documents\3GPP%20documents\RAN1\TSGR1_106-e\Docs\R1-2106634.zip" TargetMode="External"/><Relationship Id="rId28" Type="http://schemas.openxmlformats.org/officeDocument/2006/relationships/hyperlink" Target="file:///D:\Documents\3GPP%20documents\RAN1\TSGR1_106-e\Docs\R1-2106954.zip" TargetMode="External"/><Relationship Id="rId36" Type="http://schemas.openxmlformats.org/officeDocument/2006/relationships/hyperlink" Target="file:///D:\Documents\3GPP%20documents\RAN1\TSGR1_106-e\Docs\R1-2107660.zip"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file:///D:\Documents\3GPP%20documents\RAN1\TSGR1_106-e\Docs\R1-210717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file:///D:\Documents\3GPP%20documents\RAN1\TSGR1_106-e\Docs\R1-2106486.zip" TargetMode="External"/><Relationship Id="rId27" Type="http://schemas.openxmlformats.org/officeDocument/2006/relationships/hyperlink" Target="file:///D:\Documents\3GPP%20documents\RAN1\TSGR1_106-e\Docs\R1-2106921.zip" TargetMode="External"/><Relationship Id="rId30" Type="http://schemas.openxmlformats.org/officeDocument/2006/relationships/hyperlink" Target="file:///D:\Documents\3GPP%20documents\RAN1\TSGR1_106-e\Docs\R1-2107068.zip" TargetMode="External"/><Relationship Id="rId35" Type="http://schemas.openxmlformats.org/officeDocument/2006/relationships/hyperlink" Target="file:///D:\Documents\3GPP%20documents\RAN1\TSGR1_106-e\Docs\R1-2107620.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EA8E0-D7B1-44F9-A7CA-75B185686239}">
  <ds:schemaRefs>
    <ds:schemaRef ds:uri="http://schemas.openxmlformats.org/officeDocument/2006/bibliography"/>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13703</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91633</CharactersWithSpaces>
  <SharedDoc>false</SharedDoc>
  <HLinks>
    <vt:vector size="558" baseType="variant">
      <vt:variant>
        <vt:i4>131182</vt:i4>
      </vt:variant>
      <vt:variant>
        <vt:i4>504</vt:i4>
      </vt:variant>
      <vt:variant>
        <vt:i4>0</vt:i4>
      </vt:variant>
      <vt:variant>
        <vt:i4>5</vt:i4>
      </vt:variant>
      <vt:variant>
        <vt:lpwstr>D:\Documents\3GPP documents\RAN1\TSGR1_106-e\Docs\R1-2108039.zip</vt:lpwstr>
      </vt:variant>
      <vt:variant>
        <vt:lpwstr/>
      </vt:variant>
      <vt:variant>
        <vt:i4>65638</vt:i4>
      </vt:variant>
      <vt:variant>
        <vt:i4>501</vt:i4>
      </vt:variant>
      <vt:variant>
        <vt:i4>0</vt:i4>
      </vt:variant>
      <vt:variant>
        <vt:i4>5</vt:i4>
      </vt:variant>
      <vt:variant>
        <vt:lpwstr>D:\Documents\3GPP documents\RAN1\TSGR1_106-e\Docs\R1-2107943.zip</vt:lpwstr>
      </vt:variant>
      <vt:variant>
        <vt:lpwstr/>
      </vt:variant>
      <vt:variant>
        <vt:i4>131171</vt:i4>
      </vt:variant>
      <vt:variant>
        <vt:i4>498</vt:i4>
      </vt:variant>
      <vt:variant>
        <vt:i4>0</vt:i4>
      </vt:variant>
      <vt:variant>
        <vt:i4>5</vt:i4>
      </vt:variant>
      <vt:variant>
        <vt:lpwstr>D:\Documents\3GPP documents\RAN1\TSGR1_106-e\Docs\R1-2107910.zip</vt:lpwstr>
      </vt:variant>
      <vt:variant>
        <vt:lpwstr/>
      </vt:variant>
      <vt:variant>
        <vt:i4>786538</vt:i4>
      </vt:variant>
      <vt:variant>
        <vt:i4>495</vt:i4>
      </vt:variant>
      <vt:variant>
        <vt:i4>0</vt:i4>
      </vt:variant>
      <vt:variant>
        <vt:i4>5</vt:i4>
      </vt:variant>
      <vt:variant>
        <vt:lpwstr>D:\Documents\3GPP documents\RAN1\TSGR1_106-e\Docs\R1-2107780.zip</vt:lpwstr>
      </vt:variant>
      <vt:variant>
        <vt:lpwstr/>
      </vt:variant>
      <vt:variant>
        <vt:i4>983141</vt:i4>
      </vt:variant>
      <vt:variant>
        <vt:i4>492</vt:i4>
      </vt:variant>
      <vt:variant>
        <vt:i4>0</vt:i4>
      </vt:variant>
      <vt:variant>
        <vt:i4>5</vt:i4>
      </vt:variant>
      <vt:variant>
        <vt:lpwstr>D:\Documents\3GPP documents\RAN1\TSGR1_106-e\Docs\R1-2107773.zip</vt:lpwstr>
      </vt:variant>
      <vt:variant>
        <vt:lpwstr/>
      </vt:variant>
      <vt:variant>
        <vt:i4>852068</vt:i4>
      </vt:variant>
      <vt:variant>
        <vt:i4>489</vt:i4>
      </vt:variant>
      <vt:variant>
        <vt:i4>0</vt:i4>
      </vt:variant>
      <vt:variant>
        <vt:i4>5</vt:i4>
      </vt:variant>
      <vt:variant>
        <vt:lpwstr>D:\Documents\3GPP documents\RAN1\TSGR1_106-e\Docs\R1-2107660.zip</vt:lpwstr>
      </vt:variant>
      <vt:variant>
        <vt:lpwstr/>
      </vt:variant>
      <vt:variant>
        <vt:i4>852064</vt:i4>
      </vt:variant>
      <vt:variant>
        <vt:i4>486</vt:i4>
      </vt:variant>
      <vt:variant>
        <vt:i4>0</vt:i4>
      </vt:variant>
      <vt:variant>
        <vt:i4>5</vt:i4>
      </vt:variant>
      <vt:variant>
        <vt:lpwstr>D:\Documents\3GPP documents\RAN1\TSGR1_106-e\Docs\R1-2107620.zip</vt:lpwstr>
      </vt:variant>
      <vt:variant>
        <vt:lpwstr/>
      </vt:variant>
      <vt:variant>
        <vt:i4>917601</vt:i4>
      </vt:variant>
      <vt:variant>
        <vt:i4>483</vt:i4>
      </vt:variant>
      <vt:variant>
        <vt:i4>0</vt:i4>
      </vt:variant>
      <vt:variant>
        <vt:i4>5</vt:i4>
      </vt:variant>
      <vt:variant>
        <vt:lpwstr>D:\Documents\3GPP documents\RAN1\TSGR1_106-e\Docs\R1-2107431.zip</vt:lpwstr>
      </vt:variant>
      <vt:variant>
        <vt:lpwstr/>
      </vt:variant>
      <vt:variant>
        <vt:i4>721003</vt:i4>
      </vt:variant>
      <vt:variant>
        <vt:i4>480</vt:i4>
      </vt:variant>
      <vt:variant>
        <vt:i4>0</vt:i4>
      </vt:variant>
      <vt:variant>
        <vt:i4>5</vt:i4>
      </vt:variant>
      <vt:variant>
        <vt:lpwstr>D:\Documents\3GPP documents\RAN1\TSGR1_106-e\Docs\R1-2107292.zip</vt:lpwstr>
      </vt:variant>
      <vt:variant>
        <vt:lpwstr/>
      </vt:variant>
      <vt:variant>
        <vt:i4>65638</vt:i4>
      </vt:variant>
      <vt:variant>
        <vt:i4>477</vt:i4>
      </vt:variant>
      <vt:variant>
        <vt:i4>0</vt:i4>
      </vt:variant>
      <vt:variant>
        <vt:i4>5</vt:i4>
      </vt:variant>
      <vt:variant>
        <vt:lpwstr>D:\Documents\3GPP documents\RAN1\TSGR1_106-e\Docs\R1-2107248.zip</vt:lpwstr>
      </vt:variant>
      <vt:variant>
        <vt:lpwstr/>
      </vt:variant>
      <vt:variant>
        <vt:i4>917605</vt:i4>
      </vt:variant>
      <vt:variant>
        <vt:i4>474</vt:i4>
      </vt:variant>
      <vt:variant>
        <vt:i4>0</vt:i4>
      </vt:variant>
      <vt:variant>
        <vt:i4>5</vt:i4>
      </vt:variant>
      <vt:variant>
        <vt:lpwstr>D:\Documents\3GPP documents\RAN1\TSGR1_106-e\Docs\R1-2107174.zip</vt:lpwstr>
      </vt:variant>
      <vt:variant>
        <vt:lpwstr/>
      </vt:variant>
      <vt:variant>
        <vt:i4>196708</vt:i4>
      </vt:variant>
      <vt:variant>
        <vt:i4>471</vt:i4>
      </vt:variant>
      <vt:variant>
        <vt:i4>0</vt:i4>
      </vt:variant>
      <vt:variant>
        <vt:i4>5</vt:i4>
      </vt:variant>
      <vt:variant>
        <vt:lpwstr>D:\Documents\3GPP documents\RAN1\TSGR1_106-e\Docs\R1-2107068.zip</vt:lpwstr>
      </vt:variant>
      <vt:variant>
        <vt:lpwstr/>
      </vt:variant>
      <vt:variant>
        <vt:i4>196710</vt:i4>
      </vt:variant>
      <vt:variant>
        <vt:i4>468</vt:i4>
      </vt:variant>
      <vt:variant>
        <vt:i4>0</vt:i4>
      </vt:variant>
      <vt:variant>
        <vt:i4>5</vt:i4>
      </vt:variant>
      <vt:variant>
        <vt:lpwstr>D:\Documents\3GPP documents\RAN1\TSGR1_106-e\Docs\R1-2107048.zip</vt:lpwstr>
      </vt:variant>
      <vt:variant>
        <vt:lpwstr/>
      </vt:variant>
      <vt:variant>
        <vt:i4>393318</vt:i4>
      </vt:variant>
      <vt:variant>
        <vt:i4>465</vt:i4>
      </vt:variant>
      <vt:variant>
        <vt:i4>0</vt:i4>
      </vt:variant>
      <vt:variant>
        <vt:i4>5</vt:i4>
      </vt:variant>
      <vt:variant>
        <vt:lpwstr>D:\Documents\3GPP documents\RAN1\TSGR1_106-e\Docs\R1-2106954.zip</vt:lpwstr>
      </vt:variant>
      <vt:variant>
        <vt:lpwstr/>
      </vt:variant>
      <vt:variant>
        <vt:i4>196705</vt:i4>
      </vt:variant>
      <vt:variant>
        <vt:i4>462</vt:i4>
      </vt:variant>
      <vt:variant>
        <vt:i4>0</vt:i4>
      </vt:variant>
      <vt:variant>
        <vt:i4>5</vt:i4>
      </vt:variant>
      <vt:variant>
        <vt:lpwstr>D:\Documents\3GPP documents\RAN1\TSGR1_106-e\Docs\R1-2106921.zip</vt:lpwstr>
      </vt:variant>
      <vt:variant>
        <vt:lpwstr/>
      </vt:variant>
      <vt:variant>
        <vt:i4>458849</vt:i4>
      </vt:variant>
      <vt:variant>
        <vt:i4>459</vt:i4>
      </vt:variant>
      <vt:variant>
        <vt:i4>0</vt:i4>
      </vt:variant>
      <vt:variant>
        <vt:i4>5</vt:i4>
      </vt:variant>
      <vt:variant>
        <vt:lpwstr>D:\Documents\3GPP documents\RAN1\TSGR1_106-e\Docs\R1-2106824.zip</vt:lpwstr>
      </vt:variant>
      <vt:variant>
        <vt:lpwstr/>
      </vt:variant>
      <vt:variant>
        <vt:i4>852069</vt:i4>
      </vt:variant>
      <vt:variant>
        <vt:i4>456</vt:i4>
      </vt:variant>
      <vt:variant>
        <vt:i4>0</vt:i4>
      </vt:variant>
      <vt:variant>
        <vt:i4>5</vt:i4>
      </vt:variant>
      <vt:variant>
        <vt:lpwstr>D:\Documents\3GPP documents\RAN1\TSGR1_106-e\Docs\R1-2106761.zip</vt:lpwstr>
      </vt:variant>
      <vt:variant>
        <vt:lpwstr/>
      </vt:variant>
      <vt:variant>
        <vt:i4>786529</vt:i4>
      </vt:variant>
      <vt:variant>
        <vt:i4>453</vt:i4>
      </vt:variant>
      <vt:variant>
        <vt:i4>0</vt:i4>
      </vt:variant>
      <vt:variant>
        <vt:i4>5</vt:i4>
      </vt:variant>
      <vt:variant>
        <vt:lpwstr>D:\Documents\3GPP documents\RAN1\TSGR1_106-e\Docs\R1-2106720.zip</vt:lpwstr>
      </vt:variant>
      <vt:variant>
        <vt:lpwstr/>
      </vt:variant>
      <vt:variant>
        <vt:i4>589920</vt:i4>
      </vt:variant>
      <vt:variant>
        <vt:i4>450</vt:i4>
      </vt:variant>
      <vt:variant>
        <vt:i4>0</vt:i4>
      </vt:variant>
      <vt:variant>
        <vt:i4>5</vt:i4>
      </vt:variant>
      <vt:variant>
        <vt:lpwstr>D:\Documents\3GPP documents\RAN1\TSGR1_106-e\Docs\R1-2106634.zip</vt:lpwstr>
      </vt:variant>
      <vt:variant>
        <vt:lpwstr/>
      </vt:variant>
      <vt:variant>
        <vt:i4>589931</vt:i4>
      </vt:variant>
      <vt:variant>
        <vt:i4>447</vt:i4>
      </vt:variant>
      <vt:variant>
        <vt:i4>0</vt:i4>
      </vt:variant>
      <vt:variant>
        <vt:i4>5</vt:i4>
      </vt:variant>
      <vt:variant>
        <vt:lpwstr>D:\Documents\3GPP documents\RAN1\TSGR1_106-e\Docs\R1-2106486.zip</vt:lpwstr>
      </vt:variant>
      <vt:variant>
        <vt:lpwstr/>
      </vt:variant>
      <vt:variant>
        <vt:i4>1966128</vt:i4>
      </vt:variant>
      <vt:variant>
        <vt:i4>434</vt:i4>
      </vt:variant>
      <vt:variant>
        <vt:i4>0</vt:i4>
      </vt:variant>
      <vt:variant>
        <vt:i4>5</vt:i4>
      </vt:variant>
      <vt:variant>
        <vt:lpwstr/>
      </vt:variant>
      <vt:variant>
        <vt:lpwstr>_Toc80031399</vt:lpwstr>
      </vt:variant>
      <vt:variant>
        <vt:i4>2031664</vt:i4>
      </vt:variant>
      <vt:variant>
        <vt:i4>428</vt:i4>
      </vt:variant>
      <vt:variant>
        <vt:i4>0</vt:i4>
      </vt:variant>
      <vt:variant>
        <vt:i4>5</vt:i4>
      </vt:variant>
      <vt:variant>
        <vt:lpwstr/>
      </vt:variant>
      <vt:variant>
        <vt:lpwstr>_Toc80031398</vt:lpwstr>
      </vt:variant>
      <vt:variant>
        <vt:i4>1048624</vt:i4>
      </vt:variant>
      <vt:variant>
        <vt:i4>422</vt:i4>
      </vt:variant>
      <vt:variant>
        <vt:i4>0</vt:i4>
      </vt:variant>
      <vt:variant>
        <vt:i4>5</vt:i4>
      </vt:variant>
      <vt:variant>
        <vt:lpwstr/>
      </vt:variant>
      <vt:variant>
        <vt:lpwstr>_Toc80031397</vt:lpwstr>
      </vt:variant>
      <vt:variant>
        <vt:i4>1114160</vt:i4>
      </vt:variant>
      <vt:variant>
        <vt:i4>416</vt:i4>
      </vt:variant>
      <vt:variant>
        <vt:i4>0</vt:i4>
      </vt:variant>
      <vt:variant>
        <vt:i4>5</vt:i4>
      </vt:variant>
      <vt:variant>
        <vt:lpwstr/>
      </vt:variant>
      <vt:variant>
        <vt:lpwstr>_Toc80031396</vt:lpwstr>
      </vt:variant>
      <vt:variant>
        <vt:i4>1179696</vt:i4>
      </vt:variant>
      <vt:variant>
        <vt:i4>410</vt:i4>
      </vt:variant>
      <vt:variant>
        <vt:i4>0</vt:i4>
      </vt:variant>
      <vt:variant>
        <vt:i4>5</vt:i4>
      </vt:variant>
      <vt:variant>
        <vt:lpwstr/>
      </vt:variant>
      <vt:variant>
        <vt:lpwstr>_Toc80031395</vt:lpwstr>
      </vt:variant>
      <vt:variant>
        <vt:i4>1245232</vt:i4>
      </vt:variant>
      <vt:variant>
        <vt:i4>404</vt:i4>
      </vt:variant>
      <vt:variant>
        <vt:i4>0</vt:i4>
      </vt:variant>
      <vt:variant>
        <vt:i4>5</vt:i4>
      </vt:variant>
      <vt:variant>
        <vt:lpwstr/>
      </vt:variant>
      <vt:variant>
        <vt:lpwstr>_Toc80031394</vt:lpwstr>
      </vt:variant>
      <vt:variant>
        <vt:i4>1310768</vt:i4>
      </vt:variant>
      <vt:variant>
        <vt:i4>398</vt:i4>
      </vt:variant>
      <vt:variant>
        <vt:i4>0</vt:i4>
      </vt:variant>
      <vt:variant>
        <vt:i4>5</vt:i4>
      </vt:variant>
      <vt:variant>
        <vt:lpwstr/>
      </vt:variant>
      <vt:variant>
        <vt:lpwstr>_Toc80031393</vt:lpwstr>
      </vt:variant>
      <vt:variant>
        <vt:i4>1376304</vt:i4>
      </vt:variant>
      <vt:variant>
        <vt:i4>392</vt:i4>
      </vt:variant>
      <vt:variant>
        <vt:i4>0</vt:i4>
      </vt:variant>
      <vt:variant>
        <vt:i4>5</vt:i4>
      </vt:variant>
      <vt:variant>
        <vt:lpwstr/>
      </vt:variant>
      <vt:variant>
        <vt:lpwstr>_Toc80031392</vt:lpwstr>
      </vt:variant>
      <vt:variant>
        <vt:i4>1441840</vt:i4>
      </vt:variant>
      <vt:variant>
        <vt:i4>386</vt:i4>
      </vt:variant>
      <vt:variant>
        <vt:i4>0</vt:i4>
      </vt:variant>
      <vt:variant>
        <vt:i4>5</vt:i4>
      </vt:variant>
      <vt:variant>
        <vt:lpwstr/>
      </vt:variant>
      <vt:variant>
        <vt:lpwstr>_Toc80031391</vt:lpwstr>
      </vt:variant>
      <vt:variant>
        <vt:i4>1507376</vt:i4>
      </vt:variant>
      <vt:variant>
        <vt:i4>380</vt:i4>
      </vt:variant>
      <vt:variant>
        <vt:i4>0</vt:i4>
      </vt:variant>
      <vt:variant>
        <vt:i4>5</vt:i4>
      </vt:variant>
      <vt:variant>
        <vt:lpwstr/>
      </vt:variant>
      <vt:variant>
        <vt:lpwstr>_Toc80031390</vt:lpwstr>
      </vt:variant>
      <vt:variant>
        <vt:i4>1966129</vt:i4>
      </vt:variant>
      <vt:variant>
        <vt:i4>374</vt:i4>
      </vt:variant>
      <vt:variant>
        <vt:i4>0</vt:i4>
      </vt:variant>
      <vt:variant>
        <vt:i4>5</vt:i4>
      </vt:variant>
      <vt:variant>
        <vt:lpwstr/>
      </vt:variant>
      <vt:variant>
        <vt:lpwstr>_Toc80031389</vt:lpwstr>
      </vt:variant>
      <vt:variant>
        <vt:i4>2031665</vt:i4>
      </vt:variant>
      <vt:variant>
        <vt:i4>368</vt:i4>
      </vt:variant>
      <vt:variant>
        <vt:i4>0</vt:i4>
      </vt:variant>
      <vt:variant>
        <vt:i4>5</vt:i4>
      </vt:variant>
      <vt:variant>
        <vt:lpwstr/>
      </vt:variant>
      <vt:variant>
        <vt:lpwstr>_Toc80031388</vt:lpwstr>
      </vt:variant>
      <vt:variant>
        <vt:i4>1048625</vt:i4>
      </vt:variant>
      <vt:variant>
        <vt:i4>362</vt:i4>
      </vt:variant>
      <vt:variant>
        <vt:i4>0</vt:i4>
      </vt:variant>
      <vt:variant>
        <vt:i4>5</vt:i4>
      </vt:variant>
      <vt:variant>
        <vt:lpwstr/>
      </vt:variant>
      <vt:variant>
        <vt:lpwstr>_Toc80031387</vt:lpwstr>
      </vt:variant>
      <vt:variant>
        <vt:i4>1114161</vt:i4>
      </vt:variant>
      <vt:variant>
        <vt:i4>356</vt:i4>
      </vt:variant>
      <vt:variant>
        <vt:i4>0</vt:i4>
      </vt:variant>
      <vt:variant>
        <vt:i4>5</vt:i4>
      </vt:variant>
      <vt:variant>
        <vt:lpwstr/>
      </vt:variant>
      <vt:variant>
        <vt:lpwstr>_Toc80031386</vt:lpwstr>
      </vt:variant>
      <vt:variant>
        <vt:i4>1179697</vt:i4>
      </vt:variant>
      <vt:variant>
        <vt:i4>350</vt:i4>
      </vt:variant>
      <vt:variant>
        <vt:i4>0</vt:i4>
      </vt:variant>
      <vt:variant>
        <vt:i4>5</vt:i4>
      </vt:variant>
      <vt:variant>
        <vt:lpwstr/>
      </vt:variant>
      <vt:variant>
        <vt:lpwstr>_Toc80031385</vt:lpwstr>
      </vt:variant>
      <vt:variant>
        <vt:i4>1245233</vt:i4>
      </vt:variant>
      <vt:variant>
        <vt:i4>344</vt:i4>
      </vt:variant>
      <vt:variant>
        <vt:i4>0</vt:i4>
      </vt:variant>
      <vt:variant>
        <vt:i4>5</vt:i4>
      </vt:variant>
      <vt:variant>
        <vt:lpwstr/>
      </vt:variant>
      <vt:variant>
        <vt:lpwstr>_Toc80031384</vt:lpwstr>
      </vt:variant>
      <vt:variant>
        <vt:i4>1310769</vt:i4>
      </vt:variant>
      <vt:variant>
        <vt:i4>338</vt:i4>
      </vt:variant>
      <vt:variant>
        <vt:i4>0</vt:i4>
      </vt:variant>
      <vt:variant>
        <vt:i4>5</vt:i4>
      </vt:variant>
      <vt:variant>
        <vt:lpwstr/>
      </vt:variant>
      <vt:variant>
        <vt:lpwstr>_Toc80031383</vt:lpwstr>
      </vt:variant>
      <vt:variant>
        <vt:i4>1376305</vt:i4>
      </vt:variant>
      <vt:variant>
        <vt:i4>332</vt:i4>
      </vt:variant>
      <vt:variant>
        <vt:i4>0</vt:i4>
      </vt:variant>
      <vt:variant>
        <vt:i4>5</vt:i4>
      </vt:variant>
      <vt:variant>
        <vt:lpwstr/>
      </vt:variant>
      <vt:variant>
        <vt:lpwstr>_Toc80031382</vt:lpwstr>
      </vt:variant>
      <vt:variant>
        <vt:i4>1441841</vt:i4>
      </vt:variant>
      <vt:variant>
        <vt:i4>326</vt:i4>
      </vt:variant>
      <vt:variant>
        <vt:i4>0</vt:i4>
      </vt:variant>
      <vt:variant>
        <vt:i4>5</vt:i4>
      </vt:variant>
      <vt:variant>
        <vt:lpwstr/>
      </vt:variant>
      <vt:variant>
        <vt:lpwstr>_Toc80031381</vt:lpwstr>
      </vt:variant>
      <vt:variant>
        <vt:i4>1507377</vt:i4>
      </vt:variant>
      <vt:variant>
        <vt:i4>320</vt:i4>
      </vt:variant>
      <vt:variant>
        <vt:i4>0</vt:i4>
      </vt:variant>
      <vt:variant>
        <vt:i4>5</vt:i4>
      </vt:variant>
      <vt:variant>
        <vt:lpwstr/>
      </vt:variant>
      <vt:variant>
        <vt:lpwstr>_Toc80031380</vt:lpwstr>
      </vt:variant>
      <vt:variant>
        <vt:i4>1966142</vt:i4>
      </vt:variant>
      <vt:variant>
        <vt:i4>314</vt:i4>
      </vt:variant>
      <vt:variant>
        <vt:i4>0</vt:i4>
      </vt:variant>
      <vt:variant>
        <vt:i4>5</vt:i4>
      </vt:variant>
      <vt:variant>
        <vt:lpwstr/>
      </vt:variant>
      <vt:variant>
        <vt:lpwstr>_Toc80031379</vt:lpwstr>
      </vt:variant>
      <vt:variant>
        <vt:i4>2031678</vt:i4>
      </vt:variant>
      <vt:variant>
        <vt:i4>308</vt:i4>
      </vt:variant>
      <vt:variant>
        <vt:i4>0</vt:i4>
      </vt:variant>
      <vt:variant>
        <vt:i4>5</vt:i4>
      </vt:variant>
      <vt:variant>
        <vt:lpwstr/>
      </vt:variant>
      <vt:variant>
        <vt:lpwstr>_Toc80031378</vt:lpwstr>
      </vt:variant>
      <vt:variant>
        <vt:i4>1048638</vt:i4>
      </vt:variant>
      <vt:variant>
        <vt:i4>302</vt:i4>
      </vt:variant>
      <vt:variant>
        <vt:i4>0</vt:i4>
      </vt:variant>
      <vt:variant>
        <vt:i4>5</vt:i4>
      </vt:variant>
      <vt:variant>
        <vt:lpwstr/>
      </vt:variant>
      <vt:variant>
        <vt:lpwstr>_Toc80031377</vt:lpwstr>
      </vt:variant>
      <vt:variant>
        <vt:i4>1114174</vt:i4>
      </vt:variant>
      <vt:variant>
        <vt:i4>296</vt:i4>
      </vt:variant>
      <vt:variant>
        <vt:i4>0</vt:i4>
      </vt:variant>
      <vt:variant>
        <vt:i4>5</vt:i4>
      </vt:variant>
      <vt:variant>
        <vt:lpwstr/>
      </vt:variant>
      <vt:variant>
        <vt:lpwstr>_Toc80031376</vt:lpwstr>
      </vt:variant>
      <vt:variant>
        <vt:i4>1179710</vt:i4>
      </vt:variant>
      <vt:variant>
        <vt:i4>290</vt:i4>
      </vt:variant>
      <vt:variant>
        <vt:i4>0</vt:i4>
      </vt:variant>
      <vt:variant>
        <vt:i4>5</vt:i4>
      </vt:variant>
      <vt:variant>
        <vt:lpwstr/>
      </vt:variant>
      <vt:variant>
        <vt:lpwstr>_Toc80031375</vt:lpwstr>
      </vt:variant>
      <vt:variant>
        <vt:i4>1245246</vt:i4>
      </vt:variant>
      <vt:variant>
        <vt:i4>284</vt:i4>
      </vt:variant>
      <vt:variant>
        <vt:i4>0</vt:i4>
      </vt:variant>
      <vt:variant>
        <vt:i4>5</vt:i4>
      </vt:variant>
      <vt:variant>
        <vt:lpwstr/>
      </vt:variant>
      <vt:variant>
        <vt:lpwstr>_Toc80031374</vt:lpwstr>
      </vt:variant>
      <vt:variant>
        <vt:i4>1310782</vt:i4>
      </vt:variant>
      <vt:variant>
        <vt:i4>278</vt:i4>
      </vt:variant>
      <vt:variant>
        <vt:i4>0</vt:i4>
      </vt:variant>
      <vt:variant>
        <vt:i4>5</vt:i4>
      </vt:variant>
      <vt:variant>
        <vt:lpwstr/>
      </vt:variant>
      <vt:variant>
        <vt:lpwstr>_Toc80031373</vt:lpwstr>
      </vt:variant>
      <vt:variant>
        <vt:i4>1376318</vt:i4>
      </vt:variant>
      <vt:variant>
        <vt:i4>272</vt:i4>
      </vt:variant>
      <vt:variant>
        <vt:i4>0</vt:i4>
      </vt:variant>
      <vt:variant>
        <vt:i4>5</vt:i4>
      </vt:variant>
      <vt:variant>
        <vt:lpwstr/>
      </vt:variant>
      <vt:variant>
        <vt:lpwstr>_Toc80031372</vt:lpwstr>
      </vt:variant>
      <vt:variant>
        <vt:i4>1441854</vt:i4>
      </vt:variant>
      <vt:variant>
        <vt:i4>266</vt:i4>
      </vt:variant>
      <vt:variant>
        <vt:i4>0</vt:i4>
      </vt:variant>
      <vt:variant>
        <vt:i4>5</vt:i4>
      </vt:variant>
      <vt:variant>
        <vt:lpwstr/>
      </vt:variant>
      <vt:variant>
        <vt:lpwstr>_Toc80031371</vt:lpwstr>
      </vt:variant>
      <vt:variant>
        <vt:i4>1507390</vt:i4>
      </vt:variant>
      <vt:variant>
        <vt:i4>260</vt:i4>
      </vt:variant>
      <vt:variant>
        <vt:i4>0</vt:i4>
      </vt:variant>
      <vt:variant>
        <vt:i4>5</vt:i4>
      </vt:variant>
      <vt:variant>
        <vt:lpwstr/>
      </vt:variant>
      <vt:variant>
        <vt:lpwstr>_Toc80031370</vt:lpwstr>
      </vt:variant>
      <vt:variant>
        <vt:i4>1966143</vt:i4>
      </vt:variant>
      <vt:variant>
        <vt:i4>254</vt:i4>
      </vt:variant>
      <vt:variant>
        <vt:i4>0</vt:i4>
      </vt:variant>
      <vt:variant>
        <vt:i4>5</vt:i4>
      </vt:variant>
      <vt:variant>
        <vt:lpwstr/>
      </vt:variant>
      <vt:variant>
        <vt:lpwstr>_Toc80031369</vt:lpwstr>
      </vt:variant>
      <vt:variant>
        <vt:i4>2031679</vt:i4>
      </vt:variant>
      <vt:variant>
        <vt:i4>248</vt:i4>
      </vt:variant>
      <vt:variant>
        <vt:i4>0</vt:i4>
      </vt:variant>
      <vt:variant>
        <vt:i4>5</vt:i4>
      </vt:variant>
      <vt:variant>
        <vt:lpwstr/>
      </vt:variant>
      <vt:variant>
        <vt:lpwstr>_Toc80031368</vt:lpwstr>
      </vt:variant>
      <vt:variant>
        <vt:i4>1048639</vt:i4>
      </vt:variant>
      <vt:variant>
        <vt:i4>242</vt:i4>
      </vt:variant>
      <vt:variant>
        <vt:i4>0</vt:i4>
      </vt:variant>
      <vt:variant>
        <vt:i4>5</vt:i4>
      </vt:variant>
      <vt:variant>
        <vt:lpwstr/>
      </vt:variant>
      <vt:variant>
        <vt:lpwstr>_Toc80031367</vt:lpwstr>
      </vt:variant>
      <vt:variant>
        <vt:i4>1114175</vt:i4>
      </vt:variant>
      <vt:variant>
        <vt:i4>236</vt:i4>
      </vt:variant>
      <vt:variant>
        <vt:i4>0</vt:i4>
      </vt:variant>
      <vt:variant>
        <vt:i4>5</vt:i4>
      </vt:variant>
      <vt:variant>
        <vt:lpwstr/>
      </vt:variant>
      <vt:variant>
        <vt:lpwstr>_Toc80031366</vt:lpwstr>
      </vt:variant>
      <vt:variant>
        <vt:i4>1179711</vt:i4>
      </vt:variant>
      <vt:variant>
        <vt:i4>230</vt:i4>
      </vt:variant>
      <vt:variant>
        <vt:i4>0</vt:i4>
      </vt:variant>
      <vt:variant>
        <vt:i4>5</vt:i4>
      </vt:variant>
      <vt:variant>
        <vt:lpwstr/>
      </vt:variant>
      <vt:variant>
        <vt:lpwstr>_Toc80031365</vt:lpwstr>
      </vt:variant>
      <vt:variant>
        <vt:i4>1245247</vt:i4>
      </vt:variant>
      <vt:variant>
        <vt:i4>224</vt:i4>
      </vt:variant>
      <vt:variant>
        <vt:i4>0</vt:i4>
      </vt:variant>
      <vt:variant>
        <vt:i4>5</vt:i4>
      </vt:variant>
      <vt:variant>
        <vt:lpwstr/>
      </vt:variant>
      <vt:variant>
        <vt:lpwstr>_Toc80031364</vt:lpwstr>
      </vt:variant>
      <vt:variant>
        <vt:i4>1310783</vt:i4>
      </vt:variant>
      <vt:variant>
        <vt:i4>218</vt:i4>
      </vt:variant>
      <vt:variant>
        <vt:i4>0</vt:i4>
      </vt:variant>
      <vt:variant>
        <vt:i4>5</vt:i4>
      </vt:variant>
      <vt:variant>
        <vt:lpwstr/>
      </vt:variant>
      <vt:variant>
        <vt:lpwstr>_Toc80031363</vt:lpwstr>
      </vt:variant>
      <vt:variant>
        <vt:i4>1376319</vt:i4>
      </vt:variant>
      <vt:variant>
        <vt:i4>212</vt:i4>
      </vt:variant>
      <vt:variant>
        <vt:i4>0</vt:i4>
      </vt:variant>
      <vt:variant>
        <vt:i4>5</vt:i4>
      </vt:variant>
      <vt:variant>
        <vt:lpwstr/>
      </vt:variant>
      <vt:variant>
        <vt:lpwstr>_Toc80031362</vt:lpwstr>
      </vt:variant>
      <vt:variant>
        <vt:i4>1441855</vt:i4>
      </vt:variant>
      <vt:variant>
        <vt:i4>206</vt:i4>
      </vt:variant>
      <vt:variant>
        <vt:i4>0</vt:i4>
      </vt:variant>
      <vt:variant>
        <vt:i4>5</vt:i4>
      </vt:variant>
      <vt:variant>
        <vt:lpwstr/>
      </vt:variant>
      <vt:variant>
        <vt:lpwstr>_Toc80031361</vt:lpwstr>
      </vt:variant>
      <vt:variant>
        <vt:i4>1507391</vt:i4>
      </vt:variant>
      <vt:variant>
        <vt:i4>200</vt:i4>
      </vt:variant>
      <vt:variant>
        <vt:i4>0</vt:i4>
      </vt:variant>
      <vt:variant>
        <vt:i4>5</vt:i4>
      </vt:variant>
      <vt:variant>
        <vt:lpwstr/>
      </vt:variant>
      <vt:variant>
        <vt:lpwstr>_Toc80031360</vt:lpwstr>
      </vt:variant>
      <vt:variant>
        <vt:i4>1966140</vt:i4>
      </vt:variant>
      <vt:variant>
        <vt:i4>194</vt:i4>
      </vt:variant>
      <vt:variant>
        <vt:i4>0</vt:i4>
      </vt:variant>
      <vt:variant>
        <vt:i4>5</vt:i4>
      </vt:variant>
      <vt:variant>
        <vt:lpwstr/>
      </vt:variant>
      <vt:variant>
        <vt:lpwstr>_Toc80031359</vt:lpwstr>
      </vt:variant>
      <vt:variant>
        <vt:i4>2031676</vt:i4>
      </vt:variant>
      <vt:variant>
        <vt:i4>188</vt:i4>
      </vt:variant>
      <vt:variant>
        <vt:i4>0</vt:i4>
      </vt:variant>
      <vt:variant>
        <vt:i4>5</vt:i4>
      </vt:variant>
      <vt:variant>
        <vt:lpwstr/>
      </vt:variant>
      <vt:variant>
        <vt:lpwstr>_Toc80031358</vt:lpwstr>
      </vt:variant>
      <vt:variant>
        <vt:i4>1048636</vt:i4>
      </vt:variant>
      <vt:variant>
        <vt:i4>182</vt:i4>
      </vt:variant>
      <vt:variant>
        <vt:i4>0</vt:i4>
      </vt:variant>
      <vt:variant>
        <vt:i4>5</vt:i4>
      </vt:variant>
      <vt:variant>
        <vt:lpwstr/>
      </vt:variant>
      <vt:variant>
        <vt:lpwstr>_Toc80031357</vt:lpwstr>
      </vt:variant>
      <vt:variant>
        <vt:i4>1114172</vt:i4>
      </vt:variant>
      <vt:variant>
        <vt:i4>176</vt:i4>
      </vt:variant>
      <vt:variant>
        <vt:i4>0</vt:i4>
      </vt:variant>
      <vt:variant>
        <vt:i4>5</vt:i4>
      </vt:variant>
      <vt:variant>
        <vt:lpwstr/>
      </vt:variant>
      <vt:variant>
        <vt:lpwstr>_Toc80031356</vt:lpwstr>
      </vt:variant>
      <vt:variant>
        <vt:i4>1179708</vt:i4>
      </vt:variant>
      <vt:variant>
        <vt:i4>170</vt:i4>
      </vt:variant>
      <vt:variant>
        <vt:i4>0</vt:i4>
      </vt:variant>
      <vt:variant>
        <vt:i4>5</vt:i4>
      </vt:variant>
      <vt:variant>
        <vt:lpwstr/>
      </vt:variant>
      <vt:variant>
        <vt:lpwstr>_Toc80031355</vt:lpwstr>
      </vt:variant>
      <vt:variant>
        <vt:i4>1245244</vt:i4>
      </vt:variant>
      <vt:variant>
        <vt:i4>164</vt:i4>
      </vt:variant>
      <vt:variant>
        <vt:i4>0</vt:i4>
      </vt:variant>
      <vt:variant>
        <vt:i4>5</vt:i4>
      </vt:variant>
      <vt:variant>
        <vt:lpwstr/>
      </vt:variant>
      <vt:variant>
        <vt:lpwstr>_Toc80031354</vt:lpwstr>
      </vt:variant>
      <vt:variant>
        <vt:i4>1310780</vt:i4>
      </vt:variant>
      <vt:variant>
        <vt:i4>158</vt:i4>
      </vt:variant>
      <vt:variant>
        <vt:i4>0</vt:i4>
      </vt:variant>
      <vt:variant>
        <vt:i4>5</vt:i4>
      </vt:variant>
      <vt:variant>
        <vt:lpwstr/>
      </vt:variant>
      <vt:variant>
        <vt:lpwstr>_Toc80031353</vt:lpwstr>
      </vt:variant>
      <vt:variant>
        <vt:i4>1376316</vt:i4>
      </vt:variant>
      <vt:variant>
        <vt:i4>152</vt:i4>
      </vt:variant>
      <vt:variant>
        <vt:i4>0</vt:i4>
      </vt:variant>
      <vt:variant>
        <vt:i4>5</vt:i4>
      </vt:variant>
      <vt:variant>
        <vt:lpwstr/>
      </vt:variant>
      <vt:variant>
        <vt:lpwstr>_Toc80031352</vt:lpwstr>
      </vt:variant>
      <vt:variant>
        <vt:i4>1441852</vt:i4>
      </vt:variant>
      <vt:variant>
        <vt:i4>146</vt:i4>
      </vt:variant>
      <vt:variant>
        <vt:i4>0</vt:i4>
      </vt:variant>
      <vt:variant>
        <vt:i4>5</vt:i4>
      </vt:variant>
      <vt:variant>
        <vt:lpwstr/>
      </vt:variant>
      <vt:variant>
        <vt:lpwstr>_Toc80031351</vt:lpwstr>
      </vt:variant>
      <vt:variant>
        <vt:i4>1507388</vt:i4>
      </vt:variant>
      <vt:variant>
        <vt:i4>140</vt:i4>
      </vt:variant>
      <vt:variant>
        <vt:i4>0</vt:i4>
      </vt:variant>
      <vt:variant>
        <vt:i4>5</vt:i4>
      </vt:variant>
      <vt:variant>
        <vt:lpwstr/>
      </vt:variant>
      <vt:variant>
        <vt:lpwstr>_Toc80031350</vt:lpwstr>
      </vt:variant>
      <vt:variant>
        <vt:i4>1966141</vt:i4>
      </vt:variant>
      <vt:variant>
        <vt:i4>134</vt:i4>
      </vt:variant>
      <vt:variant>
        <vt:i4>0</vt:i4>
      </vt:variant>
      <vt:variant>
        <vt:i4>5</vt:i4>
      </vt:variant>
      <vt:variant>
        <vt:lpwstr/>
      </vt:variant>
      <vt:variant>
        <vt:lpwstr>_Toc80031349</vt:lpwstr>
      </vt:variant>
      <vt:variant>
        <vt:i4>2031677</vt:i4>
      </vt:variant>
      <vt:variant>
        <vt:i4>128</vt:i4>
      </vt:variant>
      <vt:variant>
        <vt:i4>0</vt:i4>
      </vt:variant>
      <vt:variant>
        <vt:i4>5</vt:i4>
      </vt:variant>
      <vt:variant>
        <vt:lpwstr/>
      </vt:variant>
      <vt:variant>
        <vt:lpwstr>_Toc80031348</vt:lpwstr>
      </vt:variant>
      <vt:variant>
        <vt:i4>1048637</vt:i4>
      </vt:variant>
      <vt:variant>
        <vt:i4>122</vt:i4>
      </vt:variant>
      <vt:variant>
        <vt:i4>0</vt:i4>
      </vt:variant>
      <vt:variant>
        <vt:i4>5</vt:i4>
      </vt:variant>
      <vt:variant>
        <vt:lpwstr/>
      </vt:variant>
      <vt:variant>
        <vt:lpwstr>_Toc80031347</vt:lpwstr>
      </vt:variant>
      <vt:variant>
        <vt:i4>1114173</vt:i4>
      </vt:variant>
      <vt:variant>
        <vt:i4>116</vt:i4>
      </vt:variant>
      <vt:variant>
        <vt:i4>0</vt:i4>
      </vt:variant>
      <vt:variant>
        <vt:i4>5</vt:i4>
      </vt:variant>
      <vt:variant>
        <vt:lpwstr/>
      </vt:variant>
      <vt:variant>
        <vt:lpwstr>_Toc80031346</vt:lpwstr>
      </vt:variant>
      <vt:variant>
        <vt:i4>1179709</vt:i4>
      </vt:variant>
      <vt:variant>
        <vt:i4>110</vt:i4>
      </vt:variant>
      <vt:variant>
        <vt:i4>0</vt:i4>
      </vt:variant>
      <vt:variant>
        <vt:i4>5</vt:i4>
      </vt:variant>
      <vt:variant>
        <vt:lpwstr/>
      </vt:variant>
      <vt:variant>
        <vt:lpwstr>_Toc80031345</vt:lpwstr>
      </vt:variant>
      <vt:variant>
        <vt:i4>1245245</vt:i4>
      </vt:variant>
      <vt:variant>
        <vt:i4>104</vt:i4>
      </vt:variant>
      <vt:variant>
        <vt:i4>0</vt:i4>
      </vt:variant>
      <vt:variant>
        <vt:i4>5</vt:i4>
      </vt:variant>
      <vt:variant>
        <vt:lpwstr/>
      </vt:variant>
      <vt:variant>
        <vt:lpwstr>_Toc80031344</vt:lpwstr>
      </vt:variant>
      <vt:variant>
        <vt:i4>1310781</vt:i4>
      </vt:variant>
      <vt:variant>
        <vt:i4>98</vt:i4>
      </vt:variant>
      <vt:variant>
        <vt:i4>0</vt:i4>
      </vt:variant>
      <vt:variant>
        <vt:i4>5</vt:i4>
      </vt:variant>
      <vt:variant>
        <vt:lpwstr/>
      </vt:variant>
      <vt:variant>
        <vt:lpwstr>_Toc80031343</vt:lpwstr>
      </vt:variant>
      <vt:variant>
        <vt:i4>1376317</vt:i4>
      </vt:variant>
      <vt:variant>
        <vt:i4>92</vt:i4>
      </vt:variant>
      <vt:variant>
        <vt:i4>0</vt:i4>
      </vt:variant>
      <vt:variant>
        <vt:i4>5</vt:i4>
      </vt:variant>
      <vt:variant>
        <vt:lpwstr/>
      </vt:variant>
      <vt:variant>
        <vt:lpwstr>_Toc80031342</vt:lpwstr>
      </vt:variant>
      <vt:variant>
        <vt:i4>1441853</vt:i4>
      </vt:variant>
      <vt:variant>
        <vt:i4>86</vt:i4>
      </vt:variant>
      <vt:variant>
        <vt:i4>0</vt:i4>
      </vt:variant>
      <vt:variant>
        <vt:i4>5</vt:i4>
      </vt:variant>
      <vt:variant>
        <vt:lpwstr/>
      </vt:variant>
      <vt:variant>
        <vt:lpwstr>_Toc80031341</vt:lpwstr>
      </vt:variant>
      <vt:variant>
        <vt:i4>1507389</vt:i4>
      </vt:variant>
      <vt:variant>
        <vt:i4>80</vt:i4>
      </vt:variant>
      <vt:variant>
        <vt:i4>0</vt:i4>
      </vt:variant>
      <vt:variant>
        <vt:i4>5</vt:i4>
      </vt:variant>
      <vt:variant>
        <vt:lpwstr/>
      </vt:variant>
      <vt:variant>
        <vt:lpwstr>_Toc80031340</vt:lpwstr>
      </vt:variant>
      <vt:variant>
        <vt:i4>1966138</vt:i4>
      </vt:variant>
      <vt:variant>
        <vt:i4>74</vt:i4>
      </vt:variant>
      <vt:variant>
        <vt:i4>0</vt:i4>
      </vt:variant>
      <vt:variant>
        <vt:i4>5</vt:i4>
      </vt:variant>
      <vt:variant>
        <vt:lpwstr/>
      </vt:variant>
      <vt:variant>
        <vt:lpwstr>_Toc80031339</vt:lpwstr>
      </vt:variant>
      <vt:variant>
        <vt:i4>2031674</vt:i4>
      </vt:variant>
      <vt:variant>
        <vt:i4>68</vt:i4>
      </vt:variant>
      <vt:variant>
        <vt:i4>0</vt:i4>
      </vt:variant>
      <vt:variant>
        <vt:i4>5</vt:i4>
      </vt:variant>
      <vt:variant>
        <vt:lpwstr/>
      </vt:variant>
      <vt:variant>
        <vt:lpwstr>_Toc80031338</vt:lpwstr>
      </vt:variant>
      <vt:variant>
        <vt:i4>1048634</vt:i4>
      </vt:variant>
      <vt:variant>
        <vt:i4>62</vt:i4>
      </vt:variant>
      <vt:variant>
        <vt:i4>0</vt:i4>
      </vt:variant>
      <vt:variant>
        <vt:i4>5</vt:i4>
      </vt:variant>
      <vt:variant>
        <vt:lpwstr/>
      </vt:variant>
      <vt:variant>
        <vt:lpwstr>_Toc80031337</vt:lpwstr>
      </vt:variant>
      <vt:variant>
        <vt:i4>1114170</vt:i4>
      </vt:variant>
      <vt:variant>
        <vt:i4>56</vt:i4>
      </vt:variant>
      <vt:variant>
        <vt:i4>0</vt:i4>
      </vt:variant>
      <vt:variant>
        <vt:i4>5</vt:i4>
      </vt:variant>
      <vt:variant>
        <vt:lpwstr/>
      </vt:variant>
      <vt:variant>
        <vt:lpwstr>_Toc80031336</vt:lpwstr>
      </vt:variant>
      <vt:variant>
        <vt:i4>1179706</vt:i4>
      </vt:variant>
      <vt:variant>
        <vt:i4>50</vt:i4>
      </vt:variant>
      <vt:variant>
        <vt:i4>0</vt:i4>
      </vt:variant>
      <vt:variant>
        <vt:i4>5</vt:i4>
      </vt:variant>
      <vt:variant>
        <vt:lpwstr/>
      </vt:variant>
      <vt:variant>
        <vt:lpwstr>_Toc80031335</vt:lpwstr>
      </vt:variant>
      <vt:variant>
        <vt:i4>1245242</vt:i4>
      </vt:variant>
      <vt:variant>
        <vt:i4>44</vt:i4>
      </vt:variant>
      <vt:variant>
        <vt:i4>0</vt:i4>
      </vt:variant>
      <vt:variant>
        <vt:i4>5</vt:i4>
      </vt:variant>
      <vt:variant>
        <vt:lpwstr/>
      </vt:variant>
      <vt:variant>
        <vt:lpwstr>_Toc80031334</vt:lpwstr>
      </vt:variant>
      <vt:variant>
        <vt:i4>1310778</vt:i4>
      </vt:variant>
      <vt:variant>
        <vt:i4>38</vt:i4>
      </vt:variant>
      <vt:variant>
        <vt:i4>0</vt:i4>
      </vt:variant>
      <vt:variant>
        <vt:i4>5</vt:i4>
      </vt:variant>
      <vt:variant>
        <vt:lpwstr/>
      </vt:variant>
      <vt:variant>
        <vt:lpwstr>_Toc80031333</vt:lpwstr>
      </vt:variant>
      <vt:variant>
        <vt:i4>1376314</vt:i4>
      </vt:variant>
      <vt:variant>
        <vt:i4>32</vt:i4>
      </vt:variant>
      <vt:variant>
        <vt:i4>0</vt:i4>
      </vt:variant>
      <vt:variant>
        <vt:i4>5</vt:i4>
      </vt:variant>
      <vt:variant>
        <vt:lpwstr/>
      </vt:variant>
      <vt:variant>
        <vt:lpwstr>_Toc80031332</vt:lpwstr>
      </vt:variant>
      <vt:variant>
        <vt:i4>1441850</vt:i4>
      </vt:variant>
      <vt:variant>
        <vt:i4>26</vt:i4>
      </vt:variant>
      <vt:variant>
        <vt:i4>0</vt:i4>
      </vt:variant>
      <vt:variant>
        <vt:i4>5</vt:i4>
      </vt:variant>
      <vt:variant>
        <vt:lpwstr/>
      </vt:variant>
      <vt:variant>
        <vt:lpwstr>_Toc80031331</vt:lpwstr>
      </vt:variant>
      <vt:variant>
        <vt:i4>1507386</vt:i4>
      </vt:variant>
      <vt:variant>
        <vt:i4>20</vt:i4>
      </vt:variant>
      <vt:variant>
        <vt:i4>0</vt:i4>
      </vt:variant>
      <vt:variant>
        <vt:i4>5</vt:i4>
      </vt:variant>
      <vt:variant>
        <vt:lpwstr/>
      </vt:variant>
      <vt:variant>
        <vt:lpwstr>_Toc80031330</vt:lpwstr>
      </vt:variant>
      <vt:variant>
        <vt:i4>1966139</vt:i4>
      </vt:variant>
      <vt:variant>
        <vt:i4>14</vt:i4>
      </vt:variant>
      <vt:variant>
        <vt:i4>0</vt:i4>
      </vt:variant>
      <vt:variant>
        <vt:i4>5</vt:i4>
      </vt:variant>
      <vt:variant>
        <vt:lpwstr/>
      </vt:variant>
      <vt:variant>
        <vt:lpwstr>_Toc80031329</vt:lpwstr>
      </vt:variant>
      <vt:variant>
        <vt:i4>2031675</vt:i4>
      </vt:variant>
      <vt:variant>
        <vt:i4>8</vt:i4>
      </vt:variant>
      <vt:variant>
        <vt:i4>0</vt:i4>
      </vt:variant>
      <vt:variant>
        <vt:i4>5</vt:i4>
      </vt:variant>
      <vt:variant>
        <vt:lpwstr/>
      </vt:variant>
      <vt:variant>
        <vt:lpwstr>_Toc80031328</vt:lpwstr>
      </vt:variant>
      <vt:variant>
        <vt:i4>1048635</vt:i4>
      </vt:variant>
      <vt:variant>
        <vt:i4>2</vt:i4>
      </vt:variant>
      <vt:variant>
        <vt:i4>0</vt:i4>
      </vt:variant>
      <vt:variant>
        <vt:i4>5</vt:i4>
      </vt:variant>
      <vt:variant>
        <vt:lpwstr/>
      </vt:variant>
      <vt:variant>
        <vt:lpwstr>_Toc80031327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6</cp:revision>
  <dcterms:created xsi:type="dcterms:W3CDTF">2021-08-18T04:36:00Z</dcterms:created>
  <dcterms:modified xsi:type="dcterms:W3CDTF">2021-08-18T05:04:00Z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