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ACD7" w14:textId="44D587F8" w:rsidR="00463CD1" w:rsidRDefault="00AB538C" w:rsidP="00463CD1">
      <w:pPr>
        <w:pStyle w:val="a3"/>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69A910" w14:textId="5C65A6C6" w:rsidR="002803B4" w:rsidRDefault="00F44333">
          <w:pPr>
            <w:pStyle w:val="1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ac"/>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ac"/>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ac"/>
                <w:noProof/>
              </w:rPr>
              <w:t>3</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ac"/>
                <w:noProof/>
              </w:rPr>
              <w:t>3.1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ac"/>
                <w:noProof/>
              </w:rPr>
              <w:t>3.1.1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ac"/>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ac"/>
                <w:noProof/>
              </w:rPr>
              <w:t>3.2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ac"/>
                <w:noProof/>
              </w:rPr>
              <w:t>3.2.1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ac"/>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ac"/>
                <w:noProof/>
              </w:rPr>
              <w:t>3.3</w:t>
            </w:r>
            <w:r w:rsidR="002803B4">
              <w:rPr>
                <w:rFonts w:asciiTheme="minorHAnsi" w:eastAsiaTheme="minorEastAsia" w:hAnsiTheme="minorHAnsi" w:cstheme="minorBidi"/>
                <w:noProof/>
                <w:sz w:val="22"/>
                <w:szCs w:val="22"/>
                <w:lang w:val="en-GB" w:eastAsia="en-GB"/>
              </w:rPr>
              <w:tab/>
            </w:r>
            <w:r w:rsidR="002803B4" w:rsidRPr="005A1D0A">
              <w:rPr>
                <w:rStyle w:val="ac"/>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ac"/>
                <w:noProof/>
              </w:rPr>
              <w:t>3.3.1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ac"/>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ac"/>
                <w:noProof/>
              </w:rPr>
              <w:t>3.4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ac"/>
                <w:noProof/>
              </w:rPr>
              <w:t>3.4.1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ac"/>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ac"/>
                <w:noProof/>
              </w:rPr>
              <w:t>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ac"/>
                <w:noProof/>
              </w:rPr>
              <w:t>4.1</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ac"/>
                <w:noProof/>
              </w:rPr>
              <w:t>4.1.1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ac"/>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ac"/>
                <w:noProof/>
              </w:rPr>
              <w:t>4.2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ac"/>
                <w:noProof/>
              </w:rPr>
              <w:t>4.2.1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ac"/>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ac"/>
                <w:noProof/>
              </w:rPr>
              <w:t>4.3</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ac"/>
                <w:noProof/>
              </w:rPr>
              <w:t>4.3.1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ac"/>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ac"/>
                <w:noProof/>
              </w:rPr>
              <w:t>4.4</w:t>
            </w:r>
            <w:r w:rsidR="002803B4">
              <w:rPr>
                <w:rFonts w:asciiTheme="minorHAnsi" w:eastAsiaTheme="minorEastAsia" w:hAnsiTheme="minorHAnsi" w:cstheme="minorBidi"/>
                <w:noProof/>
                <w:sz w:val="22"/>
                <w:szCs w:val="22"/>
                <w:lang w:val="en-GB" w:eastAsia="en-GB"/>
              </w:rPr>
              <w:tab/>
            </w:r>
            <w:r w:rsidR="002803B4" w:rsidRPr="005A1D0A">
              <w:rPr>
                <w:rStyle w:val="ac"/>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ac"/>
                <w:noProof/>
              </w:rPr>
              <w:t>4.4.1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ac"/>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ac"/>
                <w:noProof/>
              </w:rPr>
              <w:t>4.5</w:t>
            </w:r>
            <w:r w:rsidR="002803B4">
              <w:rPr>
                <w:rFonts w:asciiTheme="minorHAnsi" w:eastAsiaTheme="minorEastAsia" w:hAnsiTheme="minorHAnsi" w:cstheme="minorBidi"/>
                <w:noProof/>
                <w:sz w:val="22"/>
                <w:szCs w:val="22"/>
                <w:lang w:val="en-GB" w:eastAsia="en-GB"/>
              </w:rPr>
              <w:tab/>
            </w:r>
            <w:r w:rsidR="002803B4" w:rsidRPr="005A1D0A">
              <w:rPr>
                <w:rStyle w:val="ac"/>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ac"/>
                <w:noProof/>
              </w:rPr>
              <w:t>4.5.1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ac"/>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ac"/>
                <w:noProof/>
              </w:rPr>
              <w:t>4.6</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ac"/>
                <w:noProof/>
              </w:rPr>
              <w:t>4.6.1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ac"/>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ac"/>
                <w:noProof/>
              </w:rPr>
              <w:t>4.7</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ac"/>
                <w:noProof/>
              </w:rPr>
              <w:t>4.7.1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ac"/>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ac"/>
                <w:noProof/>
              </w:rPr>
              <w:t>5</w:t>
            </w:r>
            <w:r w:rsidR="002803B4">
              <w:rPr>
                <w:rFonts w:asciiTheme="minorHAnsi" w:eastAsiaTheme="minorEastAsia" w:hAnsiTheme="minorHAnsi" w:cstheme="minorBidi"/>
                <w:noProof/>
                <w:sz w:val="22"/>
                <w:szCs w:val="22"/>
                <w:lang w:val="en-GB" w:eastAsia="en-GB"/>
              </w:rPr>
              <w:tab/>
            </w:r>
            <w:r w:rsidR="002803B4" w:rsidRPr="005A1D0A">
              <w:rPr>
                <w:rStyle w:val="ac"/>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ac"/>
                <w:noProof/>
              </w:rPr>
              <w:t>5.1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ac"/>
                <w:noProof/>
              </w:rPr>
              <w:t>5.1.1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ac"/>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ac"/>
                <w:noProof/>
              </w:rPr>
              <w:t>5.2</w:t>
            </w:r>
            <w:r w:rsidR="002803B4">
              <w:rPr>
                <w:rFonts w:asciiTheme="minorHAnsi" w:eastAsiaTheme="minorEastAsia" w:hAnsiTheme="minorHAnsi" w:cstheme="minorBidi"/>
                <w:noProof/>
                <w:sz w:val="22"/>
                <w:szCs w:val="22"/>
                <w:lang w:val="en-GB" w:eastAsia="en-GB"/>
              </w:rPr>
              <w:tab/>
            </w:r>
            <w:r w:rsidR="002803B4" w:rsidRPr="005A1D0A">
              <w:rPr>
                <w:rStyle w:val="ac"/>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ac"/>
                <w:noProof/>
              </w:rPr>
              <w:t>5.2.1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ac"/>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ac"/>
                <w:noProof/>
              </w:rPr>
              <w:t>5.3</w:t>
            </w:r>
            <w:r w:rsidR="002803B4">
              <w:rPr>
                <w:rFonts w:asciiTheme="minorHAnsi" w:eastAsiaTheme="minorEastAsia" w:hAnsiTheme="minorHAnsi" w:cstheme="minorBidi"/>
                <w:noProof/>
                <w:sz w:val="22"/>
                <w:szCs w:val="22"/>
                <w:lang w:val="en-GB" w:eastAsia="en-GB"/>
              </w:rPr>
              <w:tab/>
            </w:r>
            <w:r w:rsidR="002803B4" w:rsidRPr="005A1D0A">
              <w:rPr>
                <w:rStyle w:val="ac"/>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ac"/>
                <w:noProof/>
              </w:rPr>
              <w:t>5.3.1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ac"/>
                <w:noProof/>
              </w:rPr>
              <w:t>6</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ac"/>
                <w:noProof/>
              </w:rPr>
              <w:t>6.1</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ac"/>
                <w:noProof/>
              </w:rPr>
              <w:t>6.1.1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ac"/>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ac"/>
                <w:noProof/>
              </w:rPr>
              <w:t>6.2</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ac"/>
                <w:noProof/>
              </w:rPr>
              <w:t>6.2.1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ac"/>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ac"/>
                <w:noProof/>
              </w:rPr>
              <w:t>7</w:t>
            </w:r>
            <w:r w:rsidR="002803B4">
              <w:rPr>
                <w:rFonts w:asciiTheme="minorHAnsi" w:eastAsiaTheme="minorEastAsia" w:hAnsiTheme="minorHAnsi" w:cstheme="minorBidi"/>
                <w:noProof/>
                <w:sz w:val="22"/>
                <w:szCs w:val="22"/>
                <w:lang w:val="en-GB" w:eastAsia="en-GB"/>
              </w:rPr>
              <w:tab/>
            </w:r>
            <w:r w:rsidR="002803B4" w:rsidRPr="005A1D0A">
              <w:rPr>
                <w:rStyle w:val="ac"/>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ac"/>
                <w:noProof/>
              </w:rPr>
              <w:t>7.1.1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ac"/>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ac"/>
                <w:noProof/>
              </w:rPr>
              <w:t>7.1.3</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Ordering of timing advance and </w:t>
            </w:r>
            <w:r w:rsidR="002803B4" w:rsidRPr="005A1D0A">
              <w:rPr>
                <w:rStyle w:val="ac"/>
                <w:i/>
                <w:iCs/>
                <w:noProof/>
              </w:rPr>
              <w:t>K</w:t>
            </w:r>
            <w:r w:rsidR="002803B4" w:rsidRPr="005A1D0A">
              <w:rPr>
                <w:rStyle w:val="ac"/>
                <w:i/>
                <w:iCs/>
                <w:noProof/>
                <w:vertAlign w:val="subscript"/>
              </w:rPr>
              <w:t>offset</w:t>
            </w:r>
            <w:r w:rsidR="002803B4" w:rsidRPr="005A1D0A">
              <w:rPr>
                <w:rStyle w:val="ac"/>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ac"/>
                <w:noProof/>
              </w:rPr>
              <w:t>7.1.4</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ac"/>
                <w:noProof/>
              </w:rPr>
              <w:t>7.2</w:t>
            </w:r>
            <w:r w:rsidR="002803B4">
              <w:rPr>
                <w:rFonts w:asciiTheme="minorHAnsi" w:eastAsiaTheme="minorEastAsia" w:hAnsiTheme="minorHAnsi" w:cstheme="minorBidi"/>
                <w:noProof/>
                <w:sz w:val="22"/>
                <w:szCs w:val="22"/>
                <w:lang w:val="en-GB" w:eastAsia="en-GB"/>
              </w:rPr>
              <w:tab/>
            </w:r>
            <w:r w:rsidR="002803B4" w:rsidRPr="005A1D0A">
              <w:rPr>
                <w:rStyle w:val="ac"/>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ac"/>
                <w:noProof/>
              </w:rPr>
              <w:t>7.2.1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ac"/>
                <w:noProof/>
              </w:rPr>
              <w:t>8</w:t>
            </w:r>
            <w:r w:rsidR="002803B4">
              <w:rPr>
                <w:rFonts w:asciiTheme="minorHAnsi" w:eastAsiaTheme="minorEastAsia" w:hAnsiTheme="minorHAnsi" w:cstheme="minorBidi"/>
                <w:noProof/>
                <w:sz w:val="22"/>
                <w:szCs w:val="22"/>
                <w:lang w:val="en-GB" w:eastAsia="en-GB"/>
              </w:rPr>
              <w:tab/>
            </w:r>
            <w:r w:rsidR="002803B4" w:rsidRPr="005A1D0A">
              <w:rPr>
                <w:rStyle w:val="ac"/>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ac"/>
                <w:noProof/>
              </w:rPr>
              <w:t>8.1</w:t>
            </w:r>
            <w:r w:rsidR="002803B4">
              <w:rPr>
                <w:rFonts w:asciiTheme="minorHAnsi" w:eastAsiaTheme="minorEastAsia" w:hAnsiTheme="minorHAnsi" w:cstheme="minorBidi"/>
                <w:noProof/>
                <w:sz w:val="22"/>
                <w:szCs w:val="22"/>
                <w:lang w:val="en-GB" w:eastAsia="en-GB"/>
              </w:rPr>
              <w:tab/>
            </w:r>
            <w:r w:rsidR="002803B4" w:rsidRPr="005A1D0A">
              <w:rPr>
                <w:rStyle w:val="ac"/>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ac"/>
                <w:noProof/>
              </w:rPr>
              <w:t>8.1.1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ac"/>
                <w:noProof/>
              </w:rPr>
              <w:t>8.2</w:t>
            </w:r>
            <w:r w:rsidR="002803B4">
              <w:rPr>
                <w:rFonts w:asciiTheme="minorHAnsi" w:eastAsiaTheme="minorEastAsia" w:hAnsiTheme="minorHAnsi" w:cstheme="minorBidi"/>
                <w:noProof/>
                <w:sz w:val="22"/>
                <w:szCs w:val="22"/>
                <w:lang w:val="en-GB" w:eastAsia="en-GB"/>
              </w:rPr>
              <w:tab/>
            </w:r>
            <w:r w:rsidR="002803B4" w:rsidRPr="005A1D0A">
              <w:rPr>
                <w:rStyle w:val="ac"/>
                <w:iCs/>
                <w:noProof/>
              </w:rPr>
              <w:t xml:space="preserve">UL </w:t>
            </w:r>
            <w:r w:rsidR="002803B4" w:rsidRPr="005A1D0A">
              <w:rPr>
                <w:rStyle w:val="ac"/>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ac"/>
                <w:noProof/>
              </w:rPr>
              <w:t>8.2.1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ac"/>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ac"/>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ac"/>
                <w:noProof/>
              </w:rPr>
              <w:t>8.3.1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ac"/>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ac"/>
                <w:noProof/>
              </w:rPr>
              <w:t>8.4.1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687258">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ac"/>
                <w:noProof/>
              </w:rPr>
              <w:t>8.5</w:t>
            </w:r>
            <w:r w:rsidR="002803B4">
              <w:rPr>
                <w:rFonts w:asciiTheme="minorHAnsi" w:eastAsiaTheme="minorEastAsia" w:hAnsiTheme="minorHAnsi" w:cstheme="minorBidi"/>
                <w:noProof/>
                <w:sz w:val="22"/>
                <w:szCs w:val="22"/>
                <w:lang w:val="en-GB" w:eastAsia="en-GB"/>
              </w:rPr>
              <w:tab/>
            </w:r>
            <w:r w:rsidR="002803B4" w:rsidRPr="005A1D0A">
              <w:rPr>
                <w:rStyle w:val="ac"/>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ac"/>
                <w:noProof/>
              </w:rPr>
              <w:t>8.5.1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687258">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ac"/>
                <w:noProof/>
              </w:rPr>
              <w:t>8.5.2</w:t>
            </w:r>
            <w:r w:rsidR="002803B4">
              <w:rPr>
                <w:rFonts w:asciiTheme="minorHAnsi" w:eastAsiaTheme="minorEastAsia" w:hAnsiTheme="minorHAnsi" w:cstheme="minorBidi"/>
                <w:noProof/>
                <w:sz w:val="22"/>
                <w:szCs w:val="22"/>
                <w:lang w:val="en-GB" w:eastAsia="en-GB"/>
              </w:rPr>
              <w:tab/>
            </w:r>
            <w:r w:rsidR="002803B4" w:rsidRPr="005A1D0A">
              <w:rPr>
                <w:rStyle w:val="ac"/>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687258">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ac"/>
                <w:noProof/>
              </w:rPr>
              <w:t>9</w:t>
            </w:r>
            <w:r w:rsidR="002803B4">
              <w:rPr>
                <w:rFonts w:asciiTheme="minorHAnsi" w:eastAsiaTheme="minorEastAsia" w:hAnsiTheme="minorHAnsi" w:cstheme="minorBidi"/>
                <w:noProof/>
                <w:sz w:val="22"/>
                <w:szCs w:val="22"/>
                <w:lang w:val="en-GB" w:eastAsia="en-GB"/>
              </w:rPr>
              <w:tab/>
            </w:r>
            <w:r w:rsidR="002803B4" w:rsidRPr="005A1D0A">
              <w:rPr>
                <w:rStyle w:val="ac"/>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ab"/>
                            </w:pPr>
                            <w:r>
                              <w:t>-</w:t>
                            </w:r>
                            <w:r>
                              <w:tab/>
                              <w:t xml:space="preserve">NPDCCH to NPUSCH format 1 </w:t>
                            </w:r>
                          </w:p>
                          <w:p w14:paraId="18882D11" w14:textId="77777777" w:rsidR="00C93EF0" w:rsidRDefault="00C93EF0" w:rsidP="00A259D6">
                            <w:pPr>
                              <w:pStyle w:val="ab"/>
                            </w:pPr>
                            <w:r>
                              <w:t>-</w:t>
                            </w:r>
                            <w:r>
                              <w:tab/>
                              <w:t>RAR grant to NPUSCH format 1</w:t>
                            </w:r>
                          </w:p>
                          <w:p w14:paraId="3B359940" w14:textId="77777777" w:rsidR="00C93EF0" w:rsidRDefault="00C93EF0" w:rsidP="00A259D6">
                            <w:pPr>
                              <w:pStyle w:val="ab"/>
                            </w:pPr>
                            <w:r>
                              <w:t>-</w:t>
                            </w:r>
                            <w:r>
                              <w:tab/>
                              <w:t>NPDSCH to HARQ-ACK on NPUSCH format 2</w:t>
                            </w:r>
                          </w:p>
                          <w:p w14:paraId="12450F4F" w14:textId="77777777" w:rsidR="00C93EF0" w:rsidRDefault="00C93EF0" w:rsidP="00A259D6">
                            <w:pPr>
                              <w:pStyle w:val="ab"/>
                            </w:pPr>
                            <w:r>
                              <w:t>-</w:t>
                            </w:r>
                            <w:r>
                              <w:tab/>
                              <w:t>Timing advance command activation</w:t>
                            </w:r>
                          </w:p>
                          <w:p w14:paraId="7E69021E" w14:textId="77777777" w:rsidR="00C93EF0" w:rsidRDefault="00C93EF0" w:rsidP="00A259D6">
                            <w:pPr>
                              <w:pStyle w:val="ab"/>
                            </w:pPr>
                            <w:r>
                              <w:t>-</w:t>
                            </w:r>
                            <w:r>
                              <w:tab/>
                              <w:t>FFS: NPDCCH order to NPRACH</w:t>
                            </w:r>
                          </w:p>
                          <w:p w14:paraId="1D83307D" w14:textId="77777777" w:rsidR="00C93EF0" w:rsidRDefault="00C93EF0" w:rsidP="00A259D6">
                            <w:pPr>
                              <w:pStyle w:val="ab"/>
                            </w:pPr>
                            <w:r>
                              <w:t>-</w:t>
                            </w:r>
                            <w:r>
                              <w:tab/>
                              <w:t>FFS: Other NB-IoT timing relationships</w:t>
                            </w:r>
                          </w:p>
                          <w:p w14:paraId="4CE7DAFD" w14:textId="77777777" w:rsidR="00C93EF0" w:rsidRDefault="00C93EF0" w:rsidP="00A259D6">
                            <w:pPr>
                              <w:pStyle w:val="ab"/>
                            </w:pPr>
                          </w:p>
                          <w:p w14:paraId="75C902DC" w14:textId="77777777" w:rsidR="00C93EF0" w:rsidRPr="00A5721A" w:rsidRDefault="00C93EF0"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ab"/>
                            </w:pPr>
                            <w:r>
                              <w:t>-</w:t>
                            </w:r>
                            <w:r>
                              <w:tab/>
                            </w:r>
                            <w:r w:rsidRPr="00EB078E">
                              <w:t xml:space="preserve">MPDCCH to PUSCH </w:t>
                            </w:r>
                          </w:p>
                          <w:p w14:paraId="2A6EA391" w14:textId="77777777" w:rsidR="00C93EF0" w:rsidRPr="00EB078E" w:rsidRDefault="00C93EF0" w:rsidP="00A259D6">
                            <w:pPr>
                              <w:pStyle w:val="ab"/>
                            </w:pPr>
                            <w:r>
                              <w:t>-</w:t>
                            </w:r>
                            <w:r>
                              <w:tab/>
                            </w:r>
                            <w:r w:rsidRPr="00EB078E">
                              <w:t xml:space="preserve">RAR grant to PUSCH </w:t>
                            </w:r>
                          </w:p>
                          <w:p w14:paraId="7185BBB4" w14:textId="77777777" w:rsidR="00C93EF0" w:rsidRPr="00EB078E" w:rsidRDefault="00C93EF0" w:rsidP="00A259D6">
                            <w:pPr>
                              <w:pStyle w:val="ab"/>
                            </w:pPr>
                            <w:r>
                              <w:t>-</w:t>
                            </w:r>
                            <w:r>
                              <w:tab/>
                            </w:r>
                            <w:r w:rsidRPr="00EB078E">
                              <w:t xml:space="preserve">MPDCCH to scheduled uplink SPS </w:t>
                            </w:r>
                          </w:p>
                          <w:p w14:paraId="327ED3EA" w14:textId="77777777" w:rsidR="00C93EF0" w:rsidRPr="00EB078E" w:rsidRDefault="00C93EF0" w:rsidP="00A259D6">
                            <w:pPr>
                              <w:pStyle w:val="ab"/>
                            </w:pPr>
                            <w:r>
                              <w:t>-</w:t>
                            </w:r>
                            <w:r>
                              <w:tab/>
                              <w:t>PDSCH</w:t>
                            </w:r>
                            <w:r w:rsidRPr="00EB078E">
                              <w:t xml:space="preserve"> to HARQ-ACK on PUCCH </w:t>
                            </w:r>
                          </w:p>
                          <w:p w14:paraId="469484A9" w14:textId="77777777" w:rsidR="00C93EF0" w:rsidRPr="00EB078E" w:rsidRDefault="00C93EF0" w:rsidP="00A259D6">
                            <w:pPr>
                              <w:pStyle w:val="ab"/>
                            </w:pPr>
                            <w:r>
                              <w:t>-</w:t>
                            </w:r>
                            <w:r>
                              <w:tab/>
                            </w:r>
                            <w:r w:rsidRPr="00EB078E">
                              <w:t xml:space="preserve">CSI reference resource timing </w:t>
                            </w:r>
                          </w:p>
                          <w:p w14:paraId="4AB21A44" w14:textId="77777777" w:rsidR="00C93EF0" w:rsidRPr="00EB078E" w:rsidRDefault="00C93EF0" w:rsidP="00A259D6">
                            <w:pPr>
                              <w:pStyle w:val="ab"/>
                            </w:pPr>
                            <w:r>
                              <w:t>-</w:t>
                            </w:r>
                            <w:r>
                              <w:tab/>
                            </w:r>
                            <w:r w:rsidRPr="00EB078E">
                              <w:t xml:space="preserve">MPDCCH to aperiodic SRS </w:t>
                            </w:r>
                          </w:p>
                          <w:p w14:paraId="2DA6787F" w14:textId="77777777" w:rsidR="00C93EF0" w:rsidRPr="00EB078E" w:rsidRDefault="00C93EF0" w:rsidP="00A259D6">
                            <w:pPr>
                              <w:pStyle w:val="ab"/>
                            </w:pPr>
                            <w:r>
                              <w:t>-</w:t>
                            </w:r>
                            <w:r>
                              <w:tab/>
                            </w:r>
                            <w:r w:rsidRPr="00EB078E">
                              <w:t>Timing advance command activation</w:t>
                            </w:r>
                          </w:p>
                          <w:p w14:paraId="66697926" w14:textId="77777777" w:rsidR="00C93EF0" w:rsidRPr="00EB078E" w:rsidRDefault="00C93EF0" w:rsidP="00A259D6">
                            <w:pPr>
                              <w:pStyle w:val="ab"/>
                            </w:pPr>
                            <w:r>
                              <w:t>-</w:t>
                            </w:r>
                            <w:r>
                              <w:tab/>
                            </w:r>
                            <w:r w:rsidRPr="00EB078E">
                              <w:t>FFS: M</w:t>
                            </w:r>
                            <w:r w:rsidRPr="00A5721A">
                              <w:t>PDCCH order to PRACH</w:t>
                            </w:r>
                          </w:p>
                          <w:p w14:paraId="77599EE9" w14:textId="77777777" w:rsidR="00C93EF0" w:rsidRDefault="00C93EF0" w:rsidP="00A259D6">
                            <w:pPr>
                              <w:pStyle w:val="ab"/>
                            </w:pPr>
                            <w:r>
                              <w:t>-</w:t>
                            </w:r>
                            <w:r>
                              <w:tab/>
                            </w:r>
                            <w:r w:rsidRPr="00EB078E">
                              <w:t>FFS: Other eMTC timing relationships</w:t>
                            </w:r>
                          </w:p>
                          <w:p w14:paraId="4432575E" w14:textId="77777777" w:rsidR="00C93EF0" w:rsidRPr="00EB078E" w:rsidRDefault="00C93EF0" w:rsidP="00A259D6">
                            <w:pPr>
                              <w:pStyle w:val="ab"/>
                            </w:pPr>
                          </w:p>
                          <w:p w14:paraId="5A4E7B67" w14:textId="77777777" w:rsidR="00C93EF0" w:rsidRDefault="00C93EF0"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NoSpacing"/>
                      </w:pPr>
                      <w:r>
                        <w:t>-</w:t>
                      </w:r>
                      <w:r>
                        <w:tab/>
                        <w:t xml:space="preserve">NPDCCH to NPUSCH format 1 </w:t>
                      </w:r>
                    </w:p>
                    <w:p w14:paraId="18882D11" w14:textId="77777777" w:rsidR="00C93EF0" w:rsidRDefault="00C93EF0" w:rsidP="00A259D6">
                      <w:pPr>
                        <w:pStyle w:val="NoSpacing"/>
                      </w:pPr>
                      <w:r>
                        <w:t>-</w:t>
                      </w:r>
                      <w:r>
                        <w:tab/>
                        <w:t>RAR grant to NPUSCH format 1</w:t>
                      </w:r>
                    </w:p>
                    <w:p w14:paraId="3B359940" w14:textId="77777777" w:rsidR="00C93EF0" w:rsidRDefault="00C93EF0" w:rsidP="00A259D6">
                      <w:pPr>
                        <w:pStyle w:val="NoSpacing"/>
                      </w:pPr>
                      <w:r>
                        <w:t>-</w:t>
                      </w:r>
                      <w:r>
                        <w:tab/>
                        <w:t>NPDSCH to HARQ-ACK on NPUSCH format 2</w:t>
                      </w:r>
                    </w:p>
                    <w:p w14:paraId="12450F4F" w14:textId="77777777" w:rsidR="00C93EF0" w:rsidRDefault="00C93EF0" w:rsidP="00A259D6">
                      <w:pPr>
                        <w:pStyle w:val="NoSpacing"/>
                      </w:pPr>
                      <w:r>
                        <w:t>-</w:t>
                      </w:r>
                      <w:r>
                        <w:tab/>
                        <w:t>Timing advance command activation</w:t>
                      </w:r>
                    </w:p>
                    <w:p w14:paraId="7E69021E" w14:textId="77777777" w:rsidR="00C93EF0" w:rsidRDefault="00C93EF0" w:rsidP="00A259D6">
                      <w:pPr>
                        <w:pStyle w:val="NoSpacing"/>
                      </w:pPr>
                      <w:r>
                        <w:t>-</w:t>
                      </w:r>
                      <w:r>
                        <w:tab/>
                        <w:t>FFS: NPDCCH order to NPRACH</w:t>
                      </w:r>
                    </w:p>
                    <w:p w14:paraId="1D83307D" w14:textId="77777777" w:rsidR="00C93EF0" w:rsidRDefault="00C93EF0" w:rsidP="00A259D6">
                      <w:pPr>
                        <w:pStyle w:val="NoSpacing"/>
                      </w:pPr>
                      <w:r>
                        <w:t>-</w:t>
                      </w:r>
                      <w:r>
                        <w:tab/>
                        <w:t>FFS: Other NB-IoT timing relationships</w:t>
                      </w:r>
                    </w:p>
                    <w:p w14:paraId="4CE7DAFD" w14:textId="77777777" w:rsidR="00C93EF0" w:rsidRDefault="00C93EF0" w:rsidP="00A259D6">
                      <w:pPr>
                        <w:pStyle w:val="NoSpacing"/>
                      </w:pPr>
                    </w:p>
                    <w:p w14:paraId="75C902DC" w14:textId="77777777" w:rsidR="00C93EF0" w:rsidRPr="00A5721A" w:rsidRDefault="00C93EF0"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NoSpacing"/>
                      </w:pPr>
                      <w:r>
                        <w:t>-</w:t>
                      </w:r>
                      <w:r>
                        <w:tab/>
                      </w:r>
                      <w:r w:rsidRPr="00EB078E">
                        <w:t xml:space="preserve">MPDCCH to PUSCH </w:t>
                      </w:r>
                    </w:p>
                    <w:p w14:paraId="2A6EA391" w14:textId="77777777" w:rsidR="00C93EF0" w:rsidRPr="00EB078E" w:rsidRDefault="00C93EF0" w:rsidP="00A259D6">
                      <w:pPr>
                        <w:pStyle w:val="NoSpacing"/>
                      </w:pPr>
                      <w:r>
                        <w:t>-</w:t>
                      </w:r>
                      <w:r>
                        <w:tab/>
                      </w:r>
                      <w:r w:rsidRPr="00EB078E">
                        <w:t xml:space="preserve">RAR grant to PUSCH </w:t>
                      </w:r>
                    </w:p>
                    <w:p w14:paraId="7185BBB4" w14:textId="77777777" w:rsidR="00C93EF0" w:rsidRPr="00EB078E" w:rsidRDefault="00C93EF0" w:rsidP="00A259D6">
                      <w:pPr>
                        <w:pStyle w:val="NoSpacing"/>
                      </w:pPr>
                      <w:r>
                        <w:t>-</w:t>
                      </w:r>
                      <w:r>
                        <w:tab/>
                      </w:r>
                      <w:r w:rsidRPr="00EB078E">
                        <w:t xml:space="preserve">MPDCCH to scheduled uplink SPS </w:t>
                      </w:r>
                    </w:p>
                    <w:p w14:paraId="327ED3EA" w14:textId="77777777" w:rsidR="00C93EF0" w:rsidRPr="00EB078E" w:rsidRDefault="00C93EF0" w:rsidP="00A259D6">
                      <w:pPr>
                        <w:pStyle w:val="NoSpacing"/>
                      </w:pPr>
                      <w:r>
                        <w:t>-</w:t>
                      </w:r>
                      <w:r>
                        <w:tab/>
                        <w:t>PDSCH</w:t>
                      </w:r>
                      <w:r w:rsidRPr="00EB078E">
                        <w:t xml:space="preserve"> to HARQ-ACK on PUCCH </w:t>
                      </w:r>
                    </w:p>
                    <w:p w14:paraId="469484A9" w14:textId="77777777" w:rsidR="00C93EF0" w:rsidRPr="00EB078E" w:rsidRDefault="00C93EF0" w:rsidP="00A259D6">
                      <w:pPr>
                        <w:pStyle w:val="NoSpacing"/>
                      </w:pPr>
                      <w:r>
                        <w:t>-</w:t>
                      </w:r>
                      <w:r>
                        <w:tab/>
                      </w:r>
                      <w:r w:rsidRPr="00EB078E">
                        <w:t xml:space="preserve">CSI reference resource timing </w:t>
                      </w:r>
                    </w:p>
                    <w:p w14:paraId="4AB21A44" w14:textId="77777777" w:rsidR="00C93EF0" w:rsidRPr="00EB078E" w:rsidRDefault="00C93EF0" w:rsidP="00A259D6">
                      <w:pPr>
                        <w:pStyle w:val="NoSpacing"/>
                      </w:pPr>
                      <w:r>
                        <w:t>-</w:t>
                      </w:r>
                      <w:r>
                        <w:tab/>
                      </w:r>
                      <w:r w:rsidRPr="00EB078E">
                        <w:t xml:space="preserve">MPDCCH to aperiodic SRS </w:t>
                      </w:r>
                    </w:p>
                    <w:p w14:paraId="2DA6787F" w14:textId="77777777" w:rsidR="00C93EF0" w:rsidRPr="00EB078E" w:rsidRDefault="00C93EF0" w:rsidP="00A259D6">
                      <w:pPr>
                        <w:pStyle w:val="NoSpacing"/>
                      </w:pPr>
                      <w:r>
                        <w:t>-</w:t>
                      </w:r>
                      <w:r>
                        <w:tab/>
                      </w:r>
                      <w:r w:rsidRPr="00EB078E">
                        <w:t>Timing advance command activation</w:t>
                      </w:r>
                    </w:p>
                    <w:p w14:paraId="66697926" w14:textId="77777777" w:rsidR="00C93EF0" w:rsidRPr="00EB078E" w:rsidRDefault="00C93EF0" w:rsidP="00A259D6">
                      <w:pPr>
                        <w:pStyle w:val="NoSpacing"/>
                      </w:pPr>
                      <w:r>
                        <w:t>-</w:t>
                      </w:r>
                      <w:r>
                        <w:tab/>
                      </w:r>
                      <w:r w:rsidRPr="00EB078E">
                        <w:t>FFS: M</w:t>
                      </w:r>
                      <w:r w:rsidRPr="00A5721A">
                        <w:t>PDCCH order to PRACH</w:t>
                      </w:r>
                    </w:p>
                    <w:p w14:paraId="77599EE9" w14:textId="77777777" w:rsidR="00C93EF0" w:rsidRDefault="00C93EF0"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C93EF0" w:rsidRPr="00EB078E" w:rsidRDefault="00C93EF0" w:rsidP="00A259D6">
                      <w:pPr>
                        <w:pStyle w:val="NoSpacing"/>
                      </w:pPr>
                    </w:p>
                    <w:p w14:paraId="5A4E7B67" w14:textId="77777777" w:rsidR="00C93EF0" w:rsidRDefault="00C93EF0"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2" w:name="_Toc80031329"/>
      <w:r>
        <w:rPr>
          <w:rStyle w:val="20"/>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3" w:name="_Hlk79659927"/>
      <w:r>
        <w:lastRenderedPageBreak/>
        <w:t xml:space="preserve">NPDCCH to NPUSCH format 1 </w:t>
      </w:r>
    </w:p>
    <w:p w14:paraId="4FF6CC53" w14:textId="076357CB" w:rsidR="00D06978" w:rsidRDefault="00D06978" w:rsidP="00760D8D">
      <w:pPr>
        <w:pStyle w:val="ab"/>
        <w:numPr>
          <w:ilvl w:val="0"/>
          <w:numId w:val="5"/>
        </w:numPr>
      </w:pPr>
      <w:bookmarkStart w:id="4" w:name="_Hlk79660098"/>
      <w:bookmarkEnd w:id="3"/>
      <w:r>
        <w:t>RAR grant to NPUSCH format 1</w:t>
      </w:r>
    </w:p>
    <w:p w14:paraId="4A097CC5" w14:textId="6CC217D1" w:rsidR="00D06978" w:rsidRDefault="00D06978" w:rsidP="00760D8D">
      <w:pPr>
        <w:pStyle w:val="ab"/>
        <w:numPr>
          <w:ilvl w:val="0"/>
          <w:numId w:val="5"/>
        </w:numPr>
      </w:pPr>
      <w:bookmarkStart w:id="5" w:name="_Hlk79660171"/>
      <w:bookmarkEnd w:id="4"/>
      <w:r>
        <w:t>NPDSCH to HARQ-ACK on NPUSCH format 2</w:t>
      </w:r>
    </w:p>
    <w:p w14:paraId="69046BA1" w14:textId="65BC87E9" w:rsidR="00D06978" w:rsidRDefault="00D06978" w:rsidP="00760D8D">
      <w:pPr>
        <w:pStyle w:val="ab"/>
        <w:numPr>
          <w:ilvl w:val="0"/>
          <w:numId w:val="5"/>
        </w:numPr>
      </w:pPr>
      <w:bookmarkStart w:id="6" w:name="_Hlk79660225"/>
      <w:bookmarkEnd w:id="5"/>
      <w:r>
        <w:t>Timing advance command activation</w:t>
      </w:r>
    </w:p>
    <w:bookmarkEnd w:id="6"/>
    <w:p w14:paraId="69A1E610" w14:textId="3FA205CB" w:rsidR="00D06978" w:rsidRDefault="00D06978" w:rsidP="00760D8D">
      <w:pPr>
        <w:pStyle w:val="ab"/>
        <w:numPr>
          <w:ilvl w:val="0"/>
          <w:numId w:val="5"/>
        </w:numPr>
      </w:pPr>
      <w:r>
        <w:t xml:space="preserve">FFS: </w:t>
      </w:r>
      <w:bookmarkStart w:id="7" w:name="_Hlk79660267"/>
      <w:r>
        <w:t>NPDCCH order to NPRACH</w:t>
      </w:r>
      <w:bookmarkEnd w:id="7"/>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8" w:name="_Toc80031330"/>
      <w:r w:rsidRPr="00D06978">
        <w:rPr>
          <w:rStyle w:val="20"/>
        </w:rPr>
        <w:t>NPDCCH to NPUSCH format 1</w:t>
      </w:r>
      <w:bookmarkEnd w:id="8"/>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3"/>
        <w:numPr>
          <w:ilvl w:val="0"/>
          <w:numId w:val="0"/>
        </w:numPr>
        <w:ind w:left="720" w:hanging="720"/>
      </w:pPr>
    </w:p>
    <w:p w14:paraId="7FD8B29F" w14:textId="259B7B9A" w:rsidR="00593334" w:rsidRDefault="00593334" w:rsidP="00593334">
      <w:pPr>
        <w:pStyle w:val="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37498A07" w:rsidR="00593334" w:rsidRPr="00593334" w:rsidRDefault="00593334" w:rsidP="00593334"/>
    <w:p w14:paraId="21D192AD" w14:textId="77777777" w:rsidR="00D06978" w:rsidRPr="00D06978" w:rsidRDefault="00D06978" w:rsidP="00D06978">
      <w:pPr>
        <w:pStyle w:val="2"/>
        <w:rPr>
          <w:rStyle w:val="20"/>
        </w:rPr>
      </w:pPr>
      <w:bookmarkStart w:id="12" w:name="_Toc80031333"/>
      <w:bookmarkStart w:id="13" w:name="_Hlk80001591"/>
      <w:r w:rsidRPr="00D06978">
        <w:rPr>
          <w:rStyle w:val="20"/>
        </w:rPr>
        <w:t>RAR grant to NPUSCH format 1</w:t>
      </w:r>
      <w:bookmarkEnd w:id="12"/>
    </w:p>
    <w:bookmarkEnd w:id="13"/>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4" w:name="_Toc80031334"/>
      <w:r>
        <w:t>Companies’ Observations and Proposals</w:t>
      </w:r>
      <w:bookmarkEnd w:id="14"/>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K_offset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lastRenderedPageBreak/>
              <w:t>“</w:t>
            </w:r>
            <w:r w:rsidRPr="00BD319A">
              <w:rPr>
                <w:rFonts w:cs="Times"/>
                <w:i/>
              </w:rPr>
              <w:t xml:space="preserve">Scheduling delay </w:t>
            </w:r>
            <w:r w:rsidRPr="00BD319A">
              <w:rPr>
                <w:rFonts w:eastAsia="宋体"/>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pt;height:18.85pt;mso-width-percent:0;mso-height-percent:0;mso-width-percent:0;mso-height-percent:0" o:ole="">
                  <v:imagedata r:id="rId11" o:title=""/>
                </v:shape>
                <o:OLEObject Type="Embed" ProgID="Equation.3" ShapeID="_x0000_i1025" DrawAspect="Content" ObjectID="_1690786468"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hint="eastAsia"/>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hint="eastAsia"/>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Pr="008E4D0A" w:rsidRDefault="00C710B2" w:rsidP="00D06978"/>
    <w:p w14:paraId="440C8098" w14:textId="4FBE8172" w:rsidR="00D06978" w:rsidRDefault="00D06978" w:rsidP="00D06978">
      <w:pPr>
        <w:pStyle w:val="2"/>
        <w:rPr>
          <w:rStyle w:val="20"/>
        </w:rPr>
      </w:pPr>
      <w:bookmarkStart w:id="17" w:name="_Toc80031336"/>
      <w:bookmarkStart w:id="18" w:name="_Hlk80001915"/>
      <w:r w:rsidRPr="00D06978">
        <w:rPr>
          <w:rStyle w:val="20"/>
        </w:rPr>
        <w:t>NPDSCH to HARQ-ACK on NPUSCH format 2</w:t>
      </w:r>
      <w:bookmarkEnd w:id="17"/>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3"/>
      </w:pPr>
      <w:r>
        <w:t xml:space="preserve"> </w:t>
      </w:r>
      <w:bookmarkStart w:id="19" w:name="_Toc80031337"/>
      <w:r>
        <w:t>Companies’ Observations and Proposals</w:t>
      </w:r>
      <w:bookmarkEnd w:id="19"/>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lastRenderedPageBreak/>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E55677">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E55677">
            <w:pPr>
              <w:rPr>
                <w:rFonts w:eastAsia="等线"/>
              </w:rPr>
            </w:pP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Pr="008E4D0A" w:rsidRDefault="00C710B2" w:rsidP="00D06978"/>
    <w:p w14:paraId="0FAA7362" w14:textId="77777777" w:rsidR="00D06978" w:rsidRPr="00D06978" w:rsidRDefault="00D06978" w:rsidP="00D06978">
      <w:pPr>
        <w:pStyle w:val="2"/>
        <w:rPr>
          <w:rStyle w:val="20"/>
        </w:rPr>
      </w:pPr>
      <w:bookmarkStart w:id="22" w:name="_Toc80031339"/>
      <w:bookmarkStart w:id="23" w:name="_Hlk80003099"/>
      <w:r w:rsidRPr="00D06978">
        <w:rPr>
          <w:rStyle w:val="20"/>
        </w:rPr>
        <w:t>Timing advance command activation</w:t>
      </w:r>
      <w:bookmarkEnd w:id="22"/>
    </w:p>
    <w:bookmarkEnd w:id="23"/>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lastRenderedPageBreak/>
        <w:t xml:space="preserve"> </w:t>
      </w:r>
      <w:bookmarkStart w:id="24" w:name="_Toc80031340"/>
      <w:r>
        <w:t>Companies’ Observations and Proposals</w:t>
      </w:r>
      <w:bookmarkEnd w:id="24"/>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3E587612" w14:textId="77777777" w:rsidR="001E47F6" w:rsidRPr="001E47F6" w:rsidRDefault="001E47F6" w:rsidP="00760D8D">
            <w:pPr>
              <w:pStyle w:val="ab"/>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28" w:name="_Toc80031342"/>
      <w:r>
        <w:rPr>
          <w:rStyle w:val="20"/>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3" w:name="_Toc80031343"/>
      <w:bookmarkStart w:id="34" w:name="_Hlk80003494"/>
      <w:r w:rsidRPr="00302003">
        <w:rPr>
          <w:rStyle w:val="20"/>
        </w:rPr>
        <w:t>MPDCCH to PUSCH</w:t>
      </w:r>
      <w:bookmarkEnd w:id="33"/>
      <w:r w:rsidRPr="00302003">
        <w:rPr>
          <w:rStyle w:val="20"/>
        </w:rPr>
        <w:t xml:space="preserve"> </w:t>
      </w:r>
    </w:p>
    <w:bookmarkEnd w:id="34"/>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3"/>
        <w:numPr>
          <w:ilvl w:val="0"/>
          <w:numId w:val="0"/>
        </w:numPr>
        <w:ind w:left="720" w:hanging="720"/>
      </w:pPr>
    </w:p>
    <w:p w14:paraId="6F9F92B1" w14:textId="19E5CDB9" w:rsidR="00DD484B" w:rsidRDefault="00DD484B" w:rsidP="00DD484B">
      <w:pPr>
        <w:pStyle w:val="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77777777" w:rsidR="00DD484B" w:rsidRPr="00DD484B" w:rsidRDefault="00DD484B" w:rsidP="00DD484B"/>
    <w:p w14:paraId="089D33FF" w14:textId="567EC9C2" w:rsidR="00302003" w:rsidRPr="00D06978" w:rsidRDefault="00302003" w:rsidP="00302003">
      <w:pPr>
        <w:pStyle w:val="2"/>
        <w:rPr>
          <w:rStyle w:val="20"/>
        </w:rPr>
      </w:pPr>
      <w:bookmarkStart w:id="37" w:name="_Toc80031346"/>
      <w:bookmarkStart w:id="38" w:name="_Hlk80003564"/>
      <w:r w:rsidRPr="00D06978">
        <w:rPr>
          <w:rStyle w:val="20"/>
        </w:rPr>
        <w:t>RAR grant to PUSCH</w:t>
      </w:r>
      <w:bookmarkEnd w:id="37"/>
    </w:p>
    <w:bookmarkEnd w:id="38"/>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39" w:name="_Toc80031347"/>
      <w:r>
        <w:t>Companies’ Observations and Proposals</w:t>
      </w:r>
      <w:bookmarkEnd w:id="39"/>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lastRenderedPageBreak/>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lastRenderedPageBreak/>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77777777" w:rsidR="00DD484B" w:rsidRDefault="00DD484B" w:rsidP="00302003"/>
    <w:p w14:paraId="4CA05F95" w14:textId="36FED8FC" w:rsidR="00302003" w:rsidRDefault="00302003" w:rsidP="00302003">
      <w:pPr>
        <w:pStyle w:val="2"/>
        <w:rPr>
          <w:rStyle w:val="20"/>
        </w:rPr>
      </w:pPr>
      <w:bookmarkStart w:id="41" w:name="_Toc80031349"/>
      <w:bookmarkStart w:id="42" w:name="_Hlk80003820"/>
      <w:r w:rsidRPr="00302003">
        <w:rPr>
          <w:rStyle w:val="20"/>
        </w:rPr>
        <w:t>MPDCCH to scheduled uplink SPS</w:t>
      </w:r>
      <w:bookmarkEnd w:id="41"/>
    </w:p>
    <w:bookmarkEnd w:id="42"/>
    <w:p w14:paraId="77DC4761" w14:textId="77777777" w:rsidR="0060198D" w:rsidRDefault="0060198D" w:rsidP="0060198D">
      <w:pPr>
        <w:pStyle w:val="ab"/>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3"/>
      </w:pPr>
      <w:r>
        <w:t xml:space="preserve"> </w:t>
      </w:r>
      <w:bookmarkStart w:id="43" w:name="_Toc80031350"/>
      <w:r>
        <w:t>Companies’ Observations and Proposals</w:t>
      </w:r>
      <w:bookmarkEnd w:id="43"/>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2"/>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8D92D8D" w14:textId="398A71E1" w:rsidR="00302003" w:rsidRPr="00D06978" w:rsidRDefault="00302003" w:rsidP="00302003">
      <w:pPr>
        <w:pStyle w:val="2"/>
        <w:rPr>
          <w:rStyle w:val="20"/>
        </w:rPr>
      </w:pPr>
      <w:bookmarkStart w:id="45" w:name="_Toc80031352"/>
      <w:r w:rsidRPr="00D06978">
        <w:rPr>
          <w:rStyle w:val="20"/>
        </w:rPr>
        <w:t>PDSCH to HARQ-ACK on PU</w:t>
      </w:r>
      <w:r w:rsidR="001E310B">
        <w:rPr>
          <w:rStyle w:val="20"/>
        </w:rPr>
        <w:t>C</w:t>
      </w:r>
      <w:r w:rsidRPr="00D06978">
        <w:rPr>
          <w:rStyle w:val="20"/>
        </w:rPr>
        <w:t>CH</w:t>
      </w:r>
      <w:bookmarkEnd w:id="45"/>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46" w:name="_Toc80031353"/>
      <w:r>
        <w:t>Companies’ Observations and Proposals</w:t>
      </w:r>
      <w:bookmarkEnd w:id="46"/>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lastRenderedPageBreak/>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lastRenderedPageBreak/>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3"/>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77777777" w:rsidR="007A41D8" w:rsidRDefault="007A41D8" w:rsidP="00302003"/>
    <w:p w14:paraId="47A51584" w14:textId="77777777" w:rsidR="00302003" w:rsidRPr="00302003" w:rsidRDefault="00302003" w:rsidP="00302003">
      <w:pPr>
        <w:pStyle w:val="2"/>
        <w:rPr>
          <w:rStyle w:val="20"/>
        </w:rPr>
      </w:pPr>
      <w:bookmarkStart w:id="48" w:name="_Toc80031355"/>
      <w:bookmarkStart w:id="49" w:name="_Hlk80005362"/>
      <w:r w:rsidRPr="00302003">
        <w:rPr>
          <w:rStyle w:val="20"/>
        </w:rPr>
        <w:t>CSI reference resource timing</w:t>
      </w:r>
      <w:bookmarkEnd w:id="48"/>
      <w:r w:rsidRPr="00302003">
        <w:rPr>
          <w:rStyle w:val="20"/>
        </w:rPr>
        <w:t xml:space="preserve"> </w:t>
      </w:r>
    </w:p>
    <w:bookmarkEnd w:id="49"/>
    <w:p w14:paraId="0C482F5B" w14:textId="77777777" w:rsidR="00F0622C" w:rsidRDefault="00F0622C" w:rsidP="00F0622C">
      <w:pPr>
        <w:pStyle w:val="ab"/>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3"/>
      </w:pPr>
      <w:r>
        <w:t xml:space="preserve"> </w:t>
      </w:r>
      <w:bookmarkStart w:id="50" w:name="_Toc80031356"/>
      <w:r>
        <w:t>Companies’ Observations and Proposals</w:t>
      </w:r>
      <w:bookmarkEnd w:id="50"/>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lastRenderedPageBreak/>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2"/>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C99123D" w14:textId="77777777" w:rsidR="007A41D8" w:rsidRPr="008E4D0A" w:rsidRDefault="007A41D8" w:rsidP="00302003"/>
    <w:p w14:paraId="53397A56" w14:textId="77777777" w:rsidR="00302003" w:rsidRPr="00302003" w:rsidRDefault="00302003" w:rsidP="00302003">
      <w:pPr>
        <w:pStyle w:val="2"/>
        <w:rPr>
          <w:rStyle w:val="20"/>
        </w:rPr>
      </w:pPr>
      <w:bookmarkStart w:id="53" w:name="_Hlk80005529"/>
      <w:bookmarkStart w:id="54" w:name="_Toc80031358"/>
      <w:r w:rsidRPr="00302003">
        <w:rPr>
          <w:rStyle w:val="20"/>
        </w:rPr>
        <w:t>MPDCCH to aperiodic SRS</w:t>
      </w:r>
      <w:bookmarkEnd w:id="53"/>
      <w:bookmarkEnd w:id="54"/>
      <w:r w:rsidRPr="00302003">
        <w:rPr>
          <w:rStyle w:val="20"/>
        </w:rPr>
        <w:t xml:space="preserve"> </w:t>
      </w:r>
    </w:p>
    <w:p w14:paraId="484D69FC" w14:textId="77777777" w:rsidR="00F0622C" w:rsidRDefault="00F0622C" w:rsidP="00F0622C">
      <w:pPr>
        <w:pStyle w:val="ab"/>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3"/>
      </w:pPr>
      <w:r>
        <w:t xml:space="preserve"> </w:t>
      </w:r>
      <w:bookmarkStart w:id="55" w:name="_Toc80031359"/>
      <w:r>
        <w:t>Companies’ Observations and Proposals</w:t>
      </w:r>
      <w:bookmarkEnd w:id="55"/>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77777777" w:rsidR="00F0622C" w:rsidRPr="008E4D0A" w:rsidRDefault="00F0622C" w:rsidP="00302003"/>
    <w:p w14:paraId="0C44B2E0" w14:textId="77777777" w:rsidR="00302003" w:rsidRPr="00D06978" w:rsidRDefault="00302003" w:rsidP="00302003">
      <w:pPr>
        <w:pStyle w:val="2"/>
        <w:rPr>
          <w:rStyle w:val="20"/>
        </w:rPr>
      </w:pPr>
      <w:bookmarkStart w:id="57" w:name="_Toc80031361"/>
      <w:bookmarkStart w:id="58" w:name="_Hlk80005726"/>
      <w:r w:rsidRPr="00D06978">
        <w:rPr>
          <w:rStyle w:val="20"/>
        </w:rPr>
        <w:t>Timing advance command activation</w:t>
      </w:r>
      <w:bookmarkEnd w:id="57"/>
    </w:p>
    <w:bookmarkEnd w:id="5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59" w:name="_Toc80031362"/>
      <w:r>
        <w:t>Companies’ Observations and Proposals</w:t>
      </w:r>
      <w:bookmarkEnd w:id="5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61" w:name="_Toc80031363"/>
      <w:r>
        <w:lastRenderedPageBreak/>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1"/>
        <w:rPr>
          <w:rStyle w:val="20"/>
        </w:rPr>
      </w:pPr>
      <w:bookmarkStart w:id="62" w:name="_Toc80031364"/>
      <w:r>
        <w:rPr>
          <w:rStyle w:val="20"/>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2"/>
        <w:rPr>
          <w:rStyle w:val="20"/>
        </w:rPr>
      </w:pPr>
      <w:bookmarkStart w:id="63" w:name="_Toc80031365"/>
      <w:r w:rsidRPr="00D06978">
        <w:rPr>
          <w:rStyle w:val="20"/>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3"/>
      </w:pPr>
      <w:r>
        <w:t xml:space="preserve"> </w:t>
      </w:r>
      <w:bookmarkStart w:id="64" w:name="_Toc80031366"/>
      <w:r>
        <w:t>Companies’ Observations and Proposals</w:t>
      </w:r>
      <w:bookmarkEnd w:id="64"/>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77777777" w:rsidR="003372FB" w:rsidRDefault="003372FB" w:rsidP="007A41D8"/>
    <w:p w14:paraId="3C408249" w14:textId="77777777" w:rsidR="007A41D8" w:rsidRDefault="007A41D8" w:rsidP="007A41D8">
      <w:pPr>
        <w:pStyle w:val="2"/>
        <w:rPr>
          <w:rStyle w:val="20"/>
        </w:rPr>
      </w:pPr>
      <w:bookmarkStart w:id="67" w:name="_Toc80031368"/>
      <w:bookmarkStart w:id="68" w:name="_Hlk80012960"/>
      <w:r>
        <w:rPr>
          <w:rStyle w:val="20"/>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3"/>
      </w:pPr>
      <w:r>
        <w:t xml:space="preserve"> </w:t>
      </w:r>
      <w:bookmarkStart w:id="69" w:name="_Toc80031369"/>
      <w:r>
        <w:t>Companies’ Observations and Proposals</w:t>
      </w:r>
      <w:bookmarkEnd w:id="69"/>
    </w:p>
    <w:p w14:paraId="70BBB0CD"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lastRenderedPageBreak/>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等线"/>
              </w:rPr>
              <w:t>.</w:t>
            </w:r>
          </w:p>
          <w:p w14:paraId="0704CF6C" w14:textId="77777777" w:rsidR="008E4D0A" w:rsidRDefault="008E4D0A" w:rsidP="00E55677">
            <w:pPr>
              <w:rPr>
                <w:rFonts w:eastAsia="等线"/>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lastRenderedPageBreak/>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hint="eastAsia"/>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hint="eastAsia"/>
              </w:rPr>
            </w:pPr>
            <w:r>
              <w:rPr>
                <w:rFonts w:eastAsia="等线"/>
              </w:rPr>
              <w:t>Support</w:t>
            </w:r>
          </w:p>
        </w:tc>
        <w:tc>
          <w:tcPr>
            <w:tcW w:w="5286" w:type="dxa"/>
          </w:tcPr>
          <w:p w14:paraId="71674813" w14:textId="77777777" w:rsidR="00CB09B1" w:rsidRPr="00904981" w:rsidRDefault="00CB09B1" w:rsidP="00CB50F7"/>
        </w:tc>
      </w:tr>
    </w:tbl>
    <w:p w14:paraId="1584DF2E" w14:textId="77777777" w:rsidR="00013A65" w:rsidRDefault="00013A65" w:rsidP="007A41D8"/>
    <w:p w14:paraId="50E55CFB" w14:textId="77777777" w:rsidR="007A41D8" w:rsidRDefault="007A41D8" w:rsidP="007A41D8">
      <w:pPr>
        <w:pStyle w:val="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3"/>
      </w:pPr>
      <w:bookmarkStart w:id="73" w:name="_Toc80031372"/>
      <w:r>
        <w:t>Companies’ Observations and Proposals</w:t>
      </w:r>
      <w:bookmarkEnd w:id="73"/>
    </w:p>
    <w:p w14:paraId="681D4F7F"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1"/>
        <w:rPr>
          <w:rStyle w:val="20"/>
        </w:rPr>
      </w:pPr>
      <w:bookmarkStart w:id="76" w:name="_Toc80031373"/>
      <w:r w:rsidRPr="00302003">
        <w:rPr>
          <w:rStyle w:val="20"/>
        </w:rPr>
        <w:lastRenderedPageBreak/>
        <w:t>K_offset</w:t>
      </w:r>
      <w:r>
        <w:rPr>
          <w:rStyle w:val="20"/>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07A131B3" w14:textId="03E69E0A" w:rsidR="00294E3A" w:rsidRDefault="00294E3A" w:rsidP="00CA392C">
      <w:pPr>
        <w:pStyle w:val="a8"/>
        <w:numPr>
          <w:ilvl w:val="0"/>
          <w:numId w:val="31"/>
        </w:numPr>
        <w:ind w:firstLineChars="0"/>
      </w:pPr>
      <w:r>
        <w:t>Updating mechanism of Koffset</w:t>
      </w:r>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77" w:name="_Toc80031374"/>
      <w:r w:rsidRPr="00302003">
        <w:rPr>
          <w:rStyle w:val="20"/>
        </w:rPr>
        <w:t>K_offset</w:t>
      </w:r>
      <w:r w:rsidR="007E4DCF">
        <w:rPr>
          <w:rStyle w:val="20"/>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78" w:name="_Toc80031375"/>
      <w:r>
        <w:t>Companies’ Observations and Proposals</w:t>
      </w:r>
      <w:bookmarkEnd w:id="7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hint="eastAsia"/>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hint="eastAsia"/>
              </w:rPr>
            </w:pPr>
            <w:r>
              <w:rPr>
                <w:rFonts w:eastAsia="等线"/>
              </w:rPr>
              <w:t>Support</w:t>
            </w:r>
          </w:p>
        </w:tc>
        <w:tc>
          <w:tcPr>
            <w:tcW w:w="5193" w:type="dxa"/>
          </w:tcPr>
          <w:p w14:paraId="000054ED" w14:textId="77777777" w:rsidR="00CB09B1" w:rsidRDefault="00CB09B1" w:rsidP="00CB50F7">
            <w:pPr>
              <w:rPr>
                <w:rFonts w:eastAsia="等线"/>
              </w:rPr>
            </w:pPr>
          </w:p>
        </w:tc>
      </w:tr>
    </w:tbl>
    <w:p w14:paraId="5B2FB1AD" w14:textId="77777777" w:rsidR="00294E3A" w:rsidRPr="008E4D0A" w:rsidRDefault="00294E3A" w:rsidP="00ED794C"/>
    <w:p w14:paraId="4D29122B" w14:textId="16BE9D35" w:rsidR="007E4DCF" w:rsidRDefault="007E4DCF" w:rsidP="007E4DCF">
      <w:pPr>
        <w:pStyle w:val="2"/>
        <w:rPr>
          <w:rStyle w:val="20"/>
        </w:rPr>
      </w:pPr>
      <w:bookmarkStart w:id="81" w:name="_Toc80031377"/>
      <w:r w:rsidRPr="00302003">
        <w:rPr>
          <w:rStyle w:val="20"/>
        </w:rPr>
        <w:t>K_offset</w:t>
      </w:r>
      <w:r>
        <w:rPr>
          <w:rStyle w:val="20"/>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3"/>
      </w:pPr>
      <w:r>
        <w:t xml:space="preserve"> </w:t>
      </w:r>
      <w:bookmarkStart w:id="82" w:name="_Toc80031378"/>
      <w:r>
        <w:t>Companies’ Observations and Proposals</w:t>
      </w:r>
      <w:bookmarkEnd w:id="82"/>
    </w:p>
    <w:p w14:paraId="4C360490"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aa"/>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lastRenderedPageBreak/>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r w:rsidRPr="00CB7BBE">
              <w:rPr>
                <w:rFonts w:ascii="Times New Roman" w:hAnsi="Times New Roman"/>
              </w:rPr>
              <w:t>Lenovo,MotoM</w:t>
            </w:r>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Basically, we use the cell specific Koffset, and the Koffset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lastRenderedPageBreak/>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lastRenderedPageBreak/>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hint="eastAsia"/>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hint="eastAsia"/>
              </w:rPr>
            </w:pPr>
            <w:r>
              <w:rPr>
                <w:rFonts w:eastAsia="等线"/>
              </w:rPr>
              <w:t>Option 1</w:t>
            </w:r>
          </w:p>
        </w:tc>
        <w:tc>
          <w:tcPr>
            <w:tcW w:w="5193" w:type="dxa"/>
          </w:tcPr>
          <w:p w14:paraId="2DD3AA6E" w14:textId="058BC513" w:rsidR="00CB09B1" w:rsidRPr="00CB09B1" w:rsidRDefault="00CB09B1" w:rsidP="00A52A54">
            <w:pPr>
              <w:rPr>
                <w:rFonts w:eastAsia="等线" w:hint="eastAsia"/>
              </w:rPr>
            </w:pPr>
            <w:r>
              <w:rPr>
                <w:rFonts w:eastAsia="等线"/>
              </w:rPr>
              <w:t>B</w:t>
            </w:r>
            <w:r>
              <w:rPr>
                <w:rFonts w:eastAsia="等线" w:hint="eastAsia"/>
              </w:rPr>
              <w:t>e</w:t>
            </w:r>
            <w:r>
              <w:rPr>
                <w:rFonts w:eastAsia="等线"/>
              </w:rPr>
              <w:t>am is transparent to a IoT UE. So from UE perspective, no beam-specific Koffset</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1"/>
        <w:rPr>
          <w:rStyle w:val="20"/>
        </w:rPr>
      </w:pPr>
      <w:bookmarkStart w:id="84" w:name="_Toc80031380"/>
      <w:bookmarkStart w:id="85" w:name="_Hlk80030196"/>
      <w:r w:rsidRPr="00302003">
        <w:rPr>
          <w:rStyle w:val="20"/>
        </w:rPr>
        <w:t>UE specific TA</w:t>
      </w:r>
      <w:bookmarkEnd w:id="84"/>
      <w:r w:rsidRPr="00302003">
        <w:rPr>
          <w:rStyle w:val="20"/>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441BE196" w14:textId="791A1DFE" w:rsidR="00EB7100" w:rsidRDefault="00EB7100" w:rsidP="00EB7100">
      <w:pPr>
        <w:pStyle w:val="a8"/>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3"/>
      </w:pPr>
      <w:r>
        <w:t xml:space="preserve"> </w:t>
      </w:r>
      <w:bookmarkStart w:id="86" w:name="_Toc80031381"/>
      <w:r>
        <w:t>Companies’ Observations and Proposals</w:t>
      </w:r>
      <w:bookmarkEnd w:id="86"/>
    </w:p>
    <w:p w14:paraId="01094F74"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 xml:space="preserve">to avoid DL-UL subframe collision issue. In </w:t>
            </w:r>
            <w:r>
              <w:rPr>
                <w:i/>
                <w:color w:val="000000"/>
              </w:rPr>
              <w:lastRenderedPageBreak/>
              <w:t>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lastRenderedPageBreak/>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If the UE and eNB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lastRenderedPageBreak/>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Since IoT NTN is already aimed at latency tolerant applications we advise caution with regards to the amount of work/effort required and the potential pitfalls (capacity/energy consumption) versus the potential benefits (a few ms at most?)</w:t>
            </w:r>
            <w:r w:rsidR="00CF3682" w:rsidRPr="00CF3682">
              <w:rPr>
                <w:rFonts w:ascii="Times New Roman" w:hAnsi="Times New Roman"/>
              </w:rPr>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hint="eastAsia"/>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hint="eastAsia"/>
              </w:rPr>
            </w:pPr>
            <w:r>
              <w:rPr>
                <w:rFonts w:eastAsia="等线"/>
              </w:rPr>
              <w:t>Not support</w:t>
            </w:r>
          </w:p>
        </w:tc>
        <w:tc>
          <w:tcPr>
            <w:tcW w:w="5193" w:type="dxa"/>
          </w:tcPr>
          <w:p w14:paraId="623AAB58" w14:textId="5C06A243" w:rsidR="00CB09B1" w:rsidRPr="00CB09B1" w:rsidRDefault="00CB09B1" w:rsidP="00A52A54">
            <w:pPr>
              <w:rPr>
                <w:rFonts w:eastAsia="等线" w:hint="eastAsia"/>
                <w:color w:val="C00000"/>
              </w:rPr>
            </w:pPr>
            <w:r>
              <w:rPr>
                <w:rFonts w:eastAsia="等线"/>
                <w:color w:val="C00000"/>
              </w:rPr>
              <w:t xml:space="preserve">We share other companies view that the TA reporting in IoT NTN aims to resolve different issues compared to that in NTN. </w:t>
            </w:r>
            <w:r>
              <w:rPr>
                <w:rFonts w:eastAsia="等线"/>
                <w:color w:val="C00000"/>
              </w:rPr>
              <w:lastRenderedPageBreak/>
              <w:t>We should have separate work on the TA reporting for IoT NTN.</w:t>
            </w:r>
          </w:p>
        </w:tc>
      </w:tr>
    </w:tbl>
    <w:p w14:paraId="2DBA880D" w14:textId="77777777" w:rsidR="00ED27D5" w:rsidRPr="008E4D0A" w:rsidRDefault="00ED27D5" w:rsidP="00C618C1"/>
    <w:p w14:paraId="724074B2" w14:textId="77777777" w:rsidR="00981B18" w:rsidRDefault="00981B18" w:rsidP="00981B18">
      <w:pPr>
        <w:pStyle w:val="3"/>
      </w:pPr>
      <w:bookmarkStart w:id="94" w:name="_Toc80031383"/>
      <w:r>
        <w:t xml:space="preserve">Ordering of timing advance and </w:t>
      </w:r>
      <w:r>
        <w:rPr>
          <w:i/>
          <w:iCs/>
        </w:rPr>
        <w:t>K</w:t>
      </w:r>
      <w:r>
        <w:rPr>
          <w:i/>
          <w:iCs/>
          <w:vertAlign w:val="subscript"/>
        </w:rPr>
        <w:t>offset</w:t>
      </w:r>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3"/>
      </w:pPr>
      <w:r>
        <w:t xml:space="preserve"> </w:t>
      </w:r>
      <w:bookmarkStart w:id="95" w:name="_Toc80031384"/>
      <w:r>
        <w:t>Companies’ Observations and Proposals</w:t>
      </w:r>
      <w:bookmarkEnd w:id="95"/>
    </w:p>
    <w:p w14:paraId="25EA8FD8" w14:textId="77777777" w:rsidR="00981B18" w:rsidRPr="00100D31" w:rsidRDefault="00981B18" w:rsidP="00981B18">
      <w:pPr>
        <w:pStyle w:val="3"/>
        <w:numPr>
          <w:ilvl w:val="0"/>
          <w:numId w:val="0"/>
        </w:numPr>
      </w:pPr>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2"/>
        <w:rPr>
          <w:rStyle w:val="20"/>
        </w:rPr>
      </w:pPr>
      <w:bookmarkStart w:id="96" w:name="_Toc80031385"/>
      <w:r>
        <w:rPr>
          <w:rStyle w:val="20"/>
        </w:rPr>
        <w:t>Determining UE-eNB RTT</w:t>
      </w:r>
      <w:bookmarkEnd w:id="96"/>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3"/>
      </w:pPr>
      <w:r>
        <w:lastRenderedPageBreak/>
        <w:t xml:space="preserve"> </w:t>
      </w:r>
      <w:bookmarkStart w:id="97" w:name="_Toc80031386"/>
      <w:r>
        <w:t>Companies’ Observations and Proposals</w:t>
      </w:r>
      <w:bookmarkEnd w:id="97"/>
    </w:p>
    <w:p w14:paraId="0F88C94A" w14:textId="77777777" w:rsidR="009C2FC1" w:rsidRPr="00100D31" w:rsidRDefault="009C2FC1" w:rsidP="009C2FC1">
      <w:pPr>
        <w:pStyle w:val="3"/>
        <w:numPr>
          <w:ilvl w:val="0"/>
          <w:numId w:val="0"/>
        </w:numPr>
      </w:pPr>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UE-eNB RTT shall be discussed in RAN1, regarding no K_mac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Introduce a new K_mac value for the estimate of UE-gNB RTT, where the new K_mac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1"/>
        <w:rPr>
          <w:rStyle w:val="20"/>
        </w:rPr>
      </w:pPr>
      <w:bookmarkStart w:id="100" w:name="_Toc80031387"/>
      <w:r>
        <w:rPr>
          <w:rStyle w:val="20"/>
        </w:rPr>
        <w:t>Other issues and relationships</w:t>
      </w:r>
      <w:bookmarkEnd w:id="100"/>
    </w:p>
    <w:p w14:paraId="5164B892" w14:textId="77777777" w:rsidR="000D66C5" w:rsidRDefault="000D66C5" w:rsidP="000D66C5">
      <w:pPr>
        <w:pStyle w:val="2"/>
        <w:numPr>
          <w:ilvl w:val="0"/>
          <w:numId w:val="0"/>
        </w:numPr>
        <w:rPr>
          <w:rStyle w:val="20"/>
        </w:rPr>
      </w:pPr>
    </w:p>
    <w:p w14:paraId="2773A962" w14:textId="1D145F62" w:rsidR="000D66C5" w:rsidRDefault="000D66C5" w:rsidP="000D66C5">
      <w:pPr>
        <w:pStyle w:val="2"/>
        <w:rPr>
          <w:rStyle w:val="20"/>
        </w:rPr>
      </w:pPr>
      <w:bookmarkStart w:id="101" w:name="_Toc80031388"/>
      <w:r>
        <w:rPr>
          <w:rStyle w:val="20"/>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3"/>
      </w:pPr>
      <w:r>
        <w:t xml:space="preserve"> </w:t>
      </w:r>
      <w:bookmarkStart w:id="102" w:name="_Toc80031389"/>
      <w:r>
        <w:t>Companies’ Observations and Proposals</w:t>
      </w:r>
      <w:bookmarkEnd w:id="102"/>
    </w:p>
    <w:p w14:paraId="04684347" w14:textId="77777777" w:rsidR="000D66C5" w:rsidRPr="00100D31" w:rsidRDefault="000D66C5" w:rsidP="000D66C5">
      <w:pPr>
        <w:pStyle w:val="3"/>
        <w:numPr>
          <w:ilvl w:val="0"/>
          <w:numId w:val="0"/>
        </w:num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3"/>
      </w:pPr>
      <w:bookmarkStart w:id="105" w:name="_Toc80031391"/>
      <w:r>
        <w:lastRenderedPageBreak/>
        <w:t>Companies’ Observations and Proposals</w:t>
      </w:r>
      <w:bookmarkEnd w:id="105"/>
    </w:p>
    <w:p w14:paraId="5421AC95"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3"/>
      </w:pPr>
      <w:bookmarkStart w:id="109" w:name="_Toc80031393"/>
      <w:r>
        <w:t>Companies’ Observations and Proposals</w:t>
      </w:r>
      <w:bookmarkEnd w:id="109"/>
    </w:p>
    <w:p w14:paraId="24A79C90"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3"/>
      </w:pPr>
      <w:bookmarkStart w:id="112" w:name="_Toc80031395"/>
      <w:r>
        <w:t>Companies’ Observations and Proposals</w:t>
      </w:r>
      <w:bookmarkEnd w:id="112"/>
    </w:p>
    <w:p w14:paraId="719868C5" w14:textId="77777777" w:rsidR="009C1878" w:rsidRPr="00100D31" w:rsidRDefault="009C1878" w:rsidP="009C1878">
      <w:pPr>
        <w:pStyle w:val="3"/>
        <w:numPr>
          <w:ilvl w:val="0"/>
          <w:numId w:val="0"/>
        </w:numPr>
      </w:pPr>
    </w:p>
    <w:tbl>
      <w:tblPr>
        <w:tblStyle w:val="a6"/>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aa"/>
              <w:rPr>
                <w:rFonts w:eastAsia="宋体"/>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aa"/>
              <w:rPr>
                <w:rFonts w:eastAsia="宋体"/>
                <w:b/>
              </w:rPr>
            </w:pPr>
            <w:r>
              <w:rPr>
                <w:rFonts w:eastAsia="宋体"/>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 xml:space="preserve">For the start of the RAR window, use K_RTT to start the RAR window at the subframe containing the end of the last preamble repetition plus K_RTT and the legacy X subframes, where K_RTT is </w:t>
            </w:r>
            <w:r>
              <w:rPr>
                <w:lang w:val="en-GB"/>
              </w:rPr>
              <w:lastRenderedPageBreak/>
              <w:t>UE-eNB RTT.</w:t>
            </w:r>
            <w:bookmarkEnd w:id="113"/>
          </w:p>
        </w:tc>
      </w:tr>
    </w:tbl>
    <w:p w14:paraId="6C862D65" w14:textId="77777777" w:rsidR="009C1878" w:rsidRDefault="009C1878" w:rsidP="009C1878">
      <w:pPr>
        <w:pStyle w:val="2"/>
        <w:numPr>
          <w:ilvl w:val="0"/>
          <w:numId w:val="0"/>
        </w:numPr>
      </w:pPr>
    </w:p>
    <w:p w14:paraId="0AD0CD78" w14:textId="6FA9436D" w:rsidR="00480CFF" w:rsidRDefault="00504117" w:rsidP="00480CFF">
      <w:pPr>
        <w:pStyle w:val="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3"/>
      </w:pPr>
      <w:bookmarkStart w:id="115" w:name="_Toc80031397"/>
      <w:r>
        <w:t>Companies’ Observations and Proposals</w:t>
      </w:r>
      <w:bookmarkEnd w:id="115"/>
    </w:p>
    <w:p w14:paraId="5F588C6A" w14:textId="77777777" w:rsidR="00480CFF" w:rsidRPr="00100D31" w:rsidRDefault="00480CFF" w:rsidP="00480CFF">
      <w:pPr>
        <w:pStyle w:val="3"/>
        <w:numPr>
          <w:ilvl w:val="0"/>
          <w:numId w:val="0"/>
        </w:numPr>
      </w:pPr>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eastAsia="zh-CN"/>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1"/>
      </w:pPr>
      <w:bookmarkStart w:id="118" w:name="_Toc80031399"/>
      <w:r>
        <w:t>Reference</w:t>
      </w:r>
      <w:r w:rsidR="00BE0157">
        <w:t>d Documents</w:t>
      </w:r>
      <w:bookmarkEnd w:id="118"/>
    </w:p>
    <w:p w14:paraId="4CAAC98F" w14:textId="4F035F12" w:rsidR="00107281" w:rsidRDefault="00107281"/>
    <w:p w14:paraId="35D58164" w14:textId="77777777" w:rsidR="00A259D6" w:rsidRDefault="00687258" w:rsidP="00A259D6">
      <w:pPr>
        <w:rPr>
          <w:lang w:eastAsia="x-none"/>
        </w:rPr>
      </w:pPr>
      <w:hyperlink r:id="rId18"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687258" w:rsidP="00A259D6">
      <w:pPr>
        <w:rPr>
          <w:lang w:eastAsia="x-none"/>
        </w:rPr>
      </w:pPr>
      <w:hyperlink r:id="rId19"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687258" w:rsidP="00A259D6">
      <w:pPr>
        <w:rPr>
          <w:lang w:eastAsia="x-none"/>
        </w:rPr>
      </w:pPr>
      <w:hyperlink r:id="rId20"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687258" w:rsidP="00A259D6">
      <w:pPr>
        <w:rPr>
          <w:lang w:eastAsia="x-none"/>
        </w:rPr>
      </w:pPr>
      <w:hyperlink r:id="rId21"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687258" w:rsidP="00A259D6">
      <w:pPr>
        <w:rPr>
          <w:lang w:eastAsia="x-none"/>
        </w:rPr>
      </w:pPr>
      <w:hyperlink r:id="rId22"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687258" w:rsidP="00A259D6">
      <w:pPr>
        <w:rPr>
          <w:lang w:eastAsia="x-none"/>
        </w:rPr>
      </w:pPr>
      <w:hyperlink r:id="rId23"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687258" w:rsidP="00A259D6">
      <w:pPr>
        <w:rPr>
          <w:lang w:eastAsia="x-none"/>
        </w:rPr>
      </w:pPr>
      <w:hyperlink r:id="rId24"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687258" w:rsidP="00A259D6">
      <w:pPr>
        <w:rPr>
          <w:lang w:eastAsia="x-none"/>
        </w:rPr>
      </w:pPr>
      <w:hyperlink r:id="rId25"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687258" w:rsidP="00A259D6">
      <w:pPr>
        <w:rPr>
          <w:lang w:eastAsia="x-none"/>
        </w:rPr>
      </w:pPr>
      <w:hyperlink r:id="rId26"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687258" w:rsidP="00A259D6">
      <w:pPr>
        <w:rPr>
          <w:lang w:eastAsia="x-none"/>
        </w:rPr>
      </w:pPr>
      <w:hyperlink r:id="rId27"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687258" w:rsidP="00A259D6">
      <w:pPr>
        <w:rPr>
          <w:lang w:eastAsia="x-none"/>
        </w:rPr>
      </w:pPr>
      <w:hyperlink r:id="rId28"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687258" w:rsidP="00A259D6">
      <w:pPr>
        <w:rPr>
          <w:lang w:eastAsia="x-none"/>
        </w:rPr>
      </w:pPr>
      <w:hyperlink r:id="rId29"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687258" w:rsidP="00A259D6">
      <w:pPr>
        <w:rPr>
          <w:lang w:eastAsia="x-none"/>
        </w:rPr>
      </w:pPr>
      <w:hyperlink r:id="rId30"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687258" w:rsidP="00A259D6">
      <w:pPr>
        <w:rPr>
          <w:lang w:eastAsia="x-none"/>
        </w:rPr>
      </w:pPr>
      <w:hyperlink r:id="rId31"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687258" w:rsidP="00A259D6">
      <w:pPr>
        <w:rPr>
          <w:lang w:eastAsia="x-none"/>
        </w:rPr>
      </w:pPr>
      <w:hyperlink r:id="rId32"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687258" w:rsidP="00A259D6">
      <w:pPr>
        <w:rPr>
          <w:lang w:eastAsia="x-none"/>
        </w:rPr>
      </w:pPr>
      <w:hyperlink r:id="rId33"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687258" w:rsidP="00A259D6">
      <w:pPr>
        <w:rPr>
          <w:lang w:eastAsia="x-none"/>
        </w:rPr>
      </w:pPr>
      <w:hyperlink r:id="rId34"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687258" w:rsidP="00A259D6">
      <w:pPr>
        <w:rPr>
          <w:lang w:eastAsia="x-none"/>
        </w:rPr>
      </w:pPr>
      <w:hyperlink r:id="rId35"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687258" w:rsidP="00A259D6">
      <w:pPr>
        <w:rPr>
          <w:lang w:eastAsia="x-none"/>
        </w:rPr>
      </w:pPr>
      <w:hyperlink r:id="rId36"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w:t>
      </w:r>
      <w:bookmarkStart w:id="119" w:name="_GoBack"/>
      <w:bookmarkEnd w:id="119"/>
      <w:r w:rsidR="00A259D6">
        <w:rPr>
          <w:lang w:eastAsia="x-none"/>
        </w:rPr>
        <w:t>o, Motorola Mobility</w:t>
      </w:r>
    </w:p>
    <w:p w14:paraId="18DA273D" w14:textId="77777777" w:rsidR="00A259D6" w:rsidRDefault="00687258" w:rsidP="00A259D6">
      <w:pPr>
        <w:rPr>
          <w:lang w:eastAsia="x-none"/>
        </w:rPr>
      </w:pPr>
      <w:hyperlink r:id="rId37"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3A07" w14:textId="77777777" w:rsidR="00687258" w:rsidRDefault="00687258" w:rsidP="00EE1A16">
      <w:r>
        <w:separator/>
      </w:r>
    </w:p>
  </w:endnote>
  <w:endnote w:type="continuationSeparator" w:id="0">
    <w:p w14:paraId="746B33A7" w14:textId="77777777" w:rsidR="00687258" w:rsidRDefault="00687258" w:rsidP="00EE1A16">
      <w:r>
        <w:continuationSeparator/>
      </w:r>
    </w:p>
  </w:endnote>
  <w:endnote w:type="continuationNotice" w:id="1">
    <w:p w14:paraId="3624BC3A" w14:textId="77777777" w:rsidR="00687258" w:rsidRDefault="0068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DDD8" w14:textId="77777777" w:rsidR="00687258" w:rsidRDefault="00687258" w:rsidP="00EE1A16">
      <w:r>
        <w:separator/>
      </w:r>
    </w:p>
  </w:footnote>
  <w:footnote w:type="continuationSeparator" w:id="0">
    <w:p w14:paraId="525B5D05" w14:textId="77777777" w:rsidR="00687258" w:rsidRDefault="00687258" w:rsidP="00EE1A16">
      <w:r>
        <w:continuationSeparator/>
      </w:r>
    </w:p>
  </w:footnote>
  <w:footnote w:type="continuationNotice" w:id="1">
    <w:p w14:paraId="76E93967" w14:textId="77777777" w:rsidR="00687258" w:rsidRDefault="006872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C5DD2"/>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898"/>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94ED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76D45"/>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12B21"/>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258"/>
    <w:rsid w:val="00687878"/>
    <w:rsid w:val="00687ECA"/>
    <w:rsid w:val="0069187D"/>
    <w:rsid w:val="00693251"/>
    <w:rsid w:val="00693F62"/>
    <w:rsid w:val="0069490A"/>
    <w:rsid w:val="00695513"/>
    <w:rsid w:val="00695F37"/>
    <w:rsid w:val="00697A9E"/>
    <w:rsid w:val="006A082A"/>
    <w:rsid w:val="006A1048"/>
    <w:rsid w:val="006A22D9"/>
    <w:rsid w:val="006A5F42"/>
    <w:rsid w:val="006A71BF"/>
    <w:rsid w:val="006B1334"/>
    <w:rsid w:val="006B56E8"/>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D6D8F"/>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5F4A"/>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1AF4"/>
    <w:rsid w:val="00A425EA"/>
    <w:rsid w:val="00A42AF4"/>
    <w:rsid w:val="00A44BB3"/>
    <w:rsid w:val="00A45062"/>
    <w:rsid w:val="00A52A54"/>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3EA4"/>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2365"/>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073C1"/>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3EF0"/>
    <w:rsid w:val="00C96598"/>
    <w:rsid w:val="00C974C1"/>
    <w:rsid w:val="00C97829"/>
    <w:rsid w:val="00C97D5E"/>
    <w:rsid w:val="00CA02B5"/>
    <w:rsid w:val="00CA2181"/>
    <w:rsid w:val="00CA392C"/>
    <w:rsid w:val="00CA3D7D"/>
    <w:rsid w:val="00CA5044"/>
    <w:rsid w:val="00CA7B2A"/>
    <w:rsid w:val="00CB09B1"/>
    <w:rsid w:val="00CB2DF2"/>
    <w:rsid w:val="00CB32E4"/>
    <w:rsid w:val="00CB4873"/>
    <w:rsid w:val="00CB497C"/>
    <w:rsid w:val="00CB50F7"/>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390C"/>
    <w:rsid w:val="00D06978"/>
    <w:rsid w:val="00D139BA"/>
    <w:rsid w:val="00D14179"/>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55677"/>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1D"/>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customStyle="1" w:styleId="B1">
    <w:name w:val="B1"/>
    <w:basedOn w:val="a5"/>
    <w:link w:val="B1Zchn"/>
    <w:qFormat/>
    <w:rsid w:val="00732328"/>
    <w:pPr>
      <w:spacing w:after="180"/>
      <w:ind w:left="568" w:hanging="284"/>
      <w:contextualSpacing w:val="0"/>
    </w:pPr>
    <w:rPr>
      <w:rFonts w:eastAsia="MS Mincho"/>
    </w:rPr>
  </w:style>
  <w:style w:type="paragraph" w:customStyle="1" w:styleId="B2">
    <w:name w:val="B2"/>
    <w:basedOn w:val="21"/>
    <w:qFormat/>
    <w:rsid w:val="00732328"/>
    <w:pPr>
      <w:spacing w:after="180"/>
      <w:ind w:left="851" w:hanging="284"/>
      <w:contextualSpacing w:val="0"/>
    </w:pPr>
    <w:rPr>
      <w:rFonts w:eastAsia="MS Mincho"/>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a6">
    <w:name w:val="Table Grid"/>
    <w:basedOn w:val="a1"/>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出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2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31">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2">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C5CEA8E0-D7B1-44F9-A7CA-75B1856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12797</Words>
  <Characters>72946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85572</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Microsoft</cp:lastModifiedBy>
  <cp:revision>3</cp:revision>
  <dcterms:created xsi:type="dcterms:W3CDTF">2021-08-18T01:40:00Z</dcterms:created>
  <dcterms:modified xsi:type="dcterms:W3CDTF">2021-08-18T01:50:00Z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