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E42B" w14:textId="7698C558"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2DEABD54" w14:textId="32B1FAF5"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4E52BF7C" w14:textId="500B7C84"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ListParagraph"/>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p>
    <w:p w14:paraId="2BCE621B" w14:textId="650108C1"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SimSun"/>
                <w:szCs w:val="20"/>
                <w:lang w:eastAsia="zh-CN"/>
              </w:rPr>
            </w:pPr>
          </w:p>
          <w:p w14:paraId="1A664728"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32B3625A" w14:textId="744B1CA1"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7B1F8DC6" w14:textId="77777777" w:rsidTr="00025468">
        <w:tc>
          <w:tcPr>
            <w:tcW w:w="662" w:type="pct"/>
          </w:tcPr>
          <w:p w14:paraId="3912E4A8" w14:textId="7182D6F4"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1A53A6FD"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1639F9C6"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492FEDC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4EC2DF9C"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2509537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71D3D65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24DADB66" w14:textId="77777777" w:rsidR="00321F54" w:rsidRPr="0045252B" w:rsidRDefault="00321F54" w:rsidP="00321F54">
            <w:pPr>
              <w:spacing w:after="180" w:line="259" w:lineRule="auto"/>
              <w:rPr>
                <w:rFonts w:eastAsia="SimSun"/>
                <w:szCs w:val="20"/>
                <w:lang w:eastAsia="zh-CN"/>
              </w:rPr>
            </w:pPr>
          </w:p>
        </w:tc>
      </w:tr>
      <w:tr w:rsidR="0090192C" w:rsidRPr="0045252B" w14:paraId="24718C48" w14:textId="77777777" w:rsidTr="00025468">
        <w:tc>
          <w:tcPr>
            <w:tcW w:w="662" w:type="pct"/>
          </w:tcPr>
          <w:p w14:paraId="6E972C2D" w14:textId="65B168EF"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62138060"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2D1950B0"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3886BF9C" w14:textId="069F6CB0"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bl>
    <w:p w14:paraId="4D091F6F" w14:textId="77777777" w:rsidR="0045252B" w:rsidRPr="00344ADC" w:rsidRDefault="0045252B" w:rsidP="0045252B">
      <w:pPr>
        <w:spacing w:before="120" w:after="120" w:line="276" w:lineRule="auto"/>
        <w:rPr>
          <w:rFonts w:eastAsiaTheme="minor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2EA6022" w14:textId="24943474"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the capacity performances are in the range of {4.4~8}, and the mean value of capacity performance is approximately [5.75].</w:t>
      </w:r>
    </w:p>
    <w:p w14:paraId="75FA869C" w14:textId="569B30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SimSun"/>
        </w:rPr>
      </w:pPr>
    </w:p>
    <w:p w14:paraId="543B7A35" w14:textId="2E96EC3C"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48F98AF8" w14:textId="760F1FB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SimSun"/>
        </w:rPr>
      </w:pPr>
    </w:p>
    <w:p w14:paraId="08CC3779" w14:textId="3D50DA50"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9.49}, and the mean value of capacity </w:t>
      </w:r>
      <w:r w:rsidRPr="00344ADC">
        <w:rPr>
          <w:rFonts w:ascii="Times New Roman" w:eastAsiaTheme="minorEastAsia" w:hAnsi="Times New Roman"/>
          <w:sz w:val="20"/>
        </w:rPr>
        <w:lastRenderedPageBreak/>
        <w:t>performance is approximately [7.96].</w:t>
      </w:r>
    </w:p>
    <w:p w14:paraId="768CBBB9" w14:textId="1832E2C8"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SimSun"/>
        </w:rPr>
      </w:pPr>
    </w:p>
    <w:p w14:paraId="1D78C5DF" w14:textId="1F942A03"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CBDBC0D" w14:textId="4277CE6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SimSun"/>
        </w:rPr>
      </w:pPr>
    </w:p>
    <w:p w14:paraId="3D4BB63B" w14:textId="6AF7C566"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SimSun"/>
        </w:rPr>
      </w:pPr>
    </w:p>
    <w:p w14:paraId="1C9AD472" w14:textId="0B021E4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SimSun"/>
        </w:rPr>
      </w:pPr>
    </w:p>
    <w:p w14:paraId="7AD4D92D" w14:textId="0B25480A"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SimSun"/>
        </w:rPr>
      </w:pPr>
    </w:p>
    <w:p w14:paraId="529C834A" w14:textId="12B87545"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SimSun"/>
        </w:rPr>
      </w:pPr>
    </w:p>
    <w:p w14:paraId="08550F25" w14:textId="086AE9F6"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B864014" w14:textId="089E2AAF" w:rsidR="00DF38D8" w:rsidRPr="00344ADC" w:rsidRDefault="00DF38D8" w:rsidP="00B04133">
      <w:pPr>
        <w:rPr>
          <w:rFonts w:eastAsia="SimSun"/>
        </w:rPr>
      </w:pPr>
    </w:p>
    <w:p w14:paraId="576A2C2D" w14:textId="36383B5D"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E680A8" w14:textId="77777777" w:rsidTr="00602A90">
        <w:tc>
          <w:tcPr>
            <w:tcW w:w="662" w:type="pct"/>
          </w:tcPr>
          <w:p w14:paraId="2D424510" w14:textId="7392EE03" w:rsidR="00DF38D8" w:rsidRPr="00344ADC" w:rsidRDefault="00690110" w:rsidP="00DF38D8">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62604290" w14:textId="5346EA74"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63AB2EAA" w14:textId="77777777" w:rsidTr="00602A90">
        <w:tc>
          <w:tcPr>
            <w:tcW w:w="662" w:type="pct"/>
          </w:tcPr>
          <w:p w14:paraId="22E2678D" w14:textId="7A9EB2BF"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19E4F44F"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62AB60BD" w14:textId="77777777" w:rsidR="00C554FE" w:rsidRPr="00344ADC" w:rsidRDefault="00C554FE" w:rsidP="00C554FE">
            <w:pPr>
              <w:spacing w:after="180" w:line="259" w:lineRule="auto"/>
              <w:rPr>
                <w:rFonts w:eastAsia="SimSun"/>
                <w:szCs w:val="20"/>
                <w:lang w:eastAsia="zh-CN"/>
              </w:rPr>
            </w:pPr>
          </w:p>
        </w:tc>
      </w:tr>
      <w:tr w:rsidR="0090192C" w:rsidRPr="00344ADC" w14:paraId="078FE2CC" w14:textId="77777777" w:rsidTr="00602A90">
        <w:tc>
          <w:tcPr>
            <w:tcW w:w="662" w:type="pct"/>
          </w:tcPr>
          <w:p w14:paraId="66F2C38B" w14:textId="184873C2"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2E8D8BAE"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07346084" w14:textId="77777777" w:rsidR="0090192C" w:rsidRDefault="0090192C" w:rsidP="0090192C"/>
          <w:p w14:paraId="7F67544F"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3A1A48EB" w14:textId="77777777" w:rsidR="0090192C" w:rsidRDefault="0090192C" w:rsidP="0090192C"/>
          <w:p w14:paraId="1D6C40B5"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5CFB115B" w14:textId="77777777" w:rsidR="0090192C" w:rsidRDefault="0090192C" w:rsidP="0090192C"/>
          <w:p w14:paraId="26D5B357"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6F4DDDEE" w14:textId="77777777" w:rsidR="0090192C" w:rsidRPr="0032413F" w:rsidRDefault="0090192C" w:rsidP="0090192C">
            <w:pPr>
              <w:rPr>
                <w:b/>
                <w:bCs/>
              </w:rPr>
            </w:pPr>
            <w:r w:rsidRPr="0032413F">
              <w:rPr>
                <w:b/>
                <w:bCs/>
              </w:rPr>
              <w:t>FR1 Uma DL:</w:t>
            </w:r>
          </w:p>
          <w:p w14:paraId="1947DEB0" w14:textId="77777777" w:rsidR="0090192C" w:rsidRPr="00C673F3" w:rsidRDefault="0090192C" w:rsidP="0090192C">
            <w:r>
              <w:t>We have a comment for the case:</w:t>
            </w:r>
            <w:r w:rsidRPr="00C673F3">
              <w:t xml:space="preserve"> </w:t>
            </w:r>
            <w:r w:rsidRPr="00576FD1">
              <w:rPr>
                <w:b/>
                <w:bCs/>
              </w:rPr>
              <w:t>VR/AR, 45Mbps, 10ms PDB, 60 FPS</w:t>
            </w:r>
          </w:p>
          <w:p w14:paraId="7536B6B7"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4F0C6DD6" w14:textId="77777777" w:rsidR="0090192C" w:rsidRDefault="0090192C" w:rsidP="0090192C"/>
          <w:p w14:paraId="2ADE7F30" w14:textId="77777777" w:rsidR="0090192C" w:rsidRDefault="0090192C" w:rsidP="0090192C">
            <w:r>
              <w:t>[</w:t>
            </w:r>
            <w:r w:rsidRPr="001C1281">
              <w:rPr>
                <w:b/>
                <w:bCs/>
              </w:rPr>
              <w:t>Question to moderator</w:t>
            </w:r>
            <w:r>
              <w:t>] Do we want to keep this observation with the trend in its current form?</w:t>
            </w:r>
          </w:p>
          <w:p w14:paraId="34C2231D" w14:textId="77777777" w:rsidR="0090192C" w:rsidRDefault="0090192C" w:rsidP="0090192C"/>
          <w:p w14:paraId="16C9DEBD"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0A44AC3A" w14:textId="77777777" w:rsidR="0090192C" w:rsidRDefault="0090192C" w:rsidP="0090192C">
            <w:pPr>
              <w:spacing w:after="180" w:line="259" w:lineRule="auto"/>
              <w:rPr>
                <w:rFonts w:eastAsia="SimSun"/>
                <w:szCs w:val="20"/>
                <w:lang w:val="en-GB" w:eastAsia="zh-CN"/>
              </w:rPr>
            </w:pPr>
          </w:p>
        </w:tc>
      </w:tr>
      <w:tr w:rsidR="007F7DD4" w:rsidRPr="00344ADC" w14:paraId="5DCB9D39" w14:textId="77777777" w:rsidTr="00602A90">
        <w:tc>
          <w:tcPr>
            <w:tcW w:w="662" w:type="pct"/>
          </w:tcPr>
          <w:p w14:paraId="18CE58B5" w14:textId="24A52E66"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3F2DDEDD" w14:textId="34AA180F"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bl>
    <w:p w14:paraId="36D82469" w14:textId="4DE831CF" w:rsidR="00DF38D8" w:rsidRPr="00344ADC" w:rsidRDefault="00DF38D8" w:rsidP="00B04133">
      <w:pPr>
        <w:rPr>
          <w:rFonts w:eastAsia="SimSun"/>
        </w:rPr>
      </w:pPr>
    </w:p>
    <w:p w14:paraId="5FCBB806" w14:textId="77777777" w:rsidR="00DF38D8" w:rsidRPr="00344ADC" w:rsidRDefault="00DF38D8" w:rsidP="00B04133">
      <w:pPr>
        <w:rPr>
          <w:rFonts w:eastAsia="SimSun"/>
        </w:rPr>
      </w:pPr>
    </w:p>
    <w:p w14:paraId="23DA1DD0" w14:textId="0745F0FE"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2DD8F30C" w14:textId="77777777" w:rsidTr="00602A90">
        <w:tc>
          <w:tcPr>
            <w:tcW w:w="662" w:type="pct"/>
          </w:tcPr>
          <w:p w14:paraId="3D7BF2C9" w14:textId="616573BF"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71DD09D" w14:textId="1C861A6D"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1FDE0602" w14:textId="77777777" w:rsidTr="00602A90">
        <w:tc>
          <w:tcPr>
            <w:tcW w:w="662" w:type="pct"/>
          </w:tcPr>
          <w:p w14:paraId="76F0EF4B" w14:textId="2D0E77FE"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1F1E1D79"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14190B95" w14:textId="615D6866"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bl>
    <w:p w14:paraId="10799873" w14:textId="38533E87" w:rsidR="00DF38D8" w:rsidRPr="00344ADC" w:rsidRDefault="00DF38D8" w:rsidP="00B04133">
      <w:pPr>
        <w:rPr>
          <w:rFonts w:eastAsia="SimSun"/>
        </w:rPr>
      </w:pPr>
    </w:p>
    <w:p w14:paraId="6C929197" w14:textId="77777777" w:rsidR="00DF38D8" w:rsidRPr="00344ADC" w:rsidRDefault="00DF38D8" w:rsidP="00B04133">
      <w:pPr>
        <w:rPr>
          <w:rFonts w:eastAsia="SimSun"/>
        </w:rPr>
      </w:pPr>
    </w:p>
    <w:p w14:paraId="276FFDBC" w14:textId="30988BCB"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4879DC73"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47C09C4C" w14:textId="77777777" w:rsidTr="00602A90">
        <w:tc>
          <w:tcPr>
            <w:tcW w:w="662" w:type="pct"/>
          </w:tcPr>
          <w:p w14:paraId="6D195549" w14:textId="5FB09991"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7FE9CF3F" w14:textId="7E83D563"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75D3CDB" w14:textId="77777777" w:rsidTr="00602A90">
        <w:tc>
          <w:tcPr>
            <w:tcW w:w="662" w:type="pct"/>
          </w:tcPr>
          <w:p w14:paraId="4338E58D" w14:textId="374F885A"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012EB09A"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78CB392C" w14:textId="7739B77E"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bl>
    <w:p w14:paraId="3C691C50" w14:textId="29AC0D41" w:rsidR="00DF38D8" w:rsidRPr="00344ADC" w:rsidRDefault="00DF38D8" w:rsidP="00B04133">
      <w:pPr>
        <w:rPr>
          <w:rFonts w:eastAsia="SimSun"/>
        </w:rPr>
      </w:pPr>
    </w:p>
    <w:p w14:paraId="48852E6F" w14:textId="77777777" w:rsidR="00DF38D8" w:rsidRPr="00344ADC" w:rsidRDefault="00DF38D8" w:rsidP="00B04133">
      <w:pPr>
        <w:rPr>
          <w:rFonts w:eastAsia="SimSun"/>
        </w:rPr>
      </w:pPr>
    </w:p>
    <w:p w14:paraId="4F2787EF" w14:textId="213AF1A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156D04" w14:textId="77777777" w:rsidTr="00602A90">
        <w:tc>
          <w:tcPr>
            <w:tcW w:w="662" w:type="pct"/>
          </w:tcPr>
          <w:p w14:paraId="2556F2E9" w14:textId="229E3885"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3B1A50C" w14:textId="092D1AA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1BEDA571" w14:textId="77777777" w:rsidTr="00602A90">
        <w:tc>
          <w:tcPr>
            <w:tcW w:w="662" w:type="pct"/>
          </w:tcPr>
          <w:p w14:paraId="4E03FA02" w14:textId="77777777" w:rsidR="00DF38D8" w:rsidRPr="00344ADC" w:rsidRDefault="00DF38D8" w:rsidP="00602A90">
            <w:pPr>
              <w:spacing w:after="180" w:line="259" w:lineRule="auto"/>
              <w:rPr>
                <w:rFonts w:eastAsia="SimSun"/>
                <w:szCs w:val="20"/>
                <w:lang w:eastAsia="zh-CN"/>
              </w:rPr>
            </w:pPr>
          </w:p>
        </w:tc>
        <w:tc>
          <w:tcPr>
            <w:tcW w:w="4338" w:type="pct"/>
          </w:tcPr>
          <w:p w14:paraId="099B0A7A" w14:textId="77777777" w:rsidR="00DF38D8" w:rsidRPr="00344ADC" w:rsidRDefault="00DF38D8" w:rsidP="00602A90">
            <w:pPr>
              <w:spacing w:after="180" w:line="259" w:lineRule="auto"/>
              <w:rPr>
                <w:rFonts w:eastAsia="SimSun"/>
                <w:szCs w:val="20"/>
                <w:lang w:eastAsia="zh-CN"/>
              </w:rPr>
            </w:pPr>
          </w:p>
        </w:tc>
      </w:tr>
    </w:tbl>
    <w:p w14:paraId="3EEF4B45" w14:textId="77777777" w:rsidR="00DF38D8" w:rsidRPr="00344ADC" w:rsidRDefault="00DF38D8" w:rsidP="00344ADC">
      <w:pPr>
        <w:pStyle w:val="BodyText"/>
        <w:rPr>
          <w:rFonts w:eastAsiaTheme="minorEastAsia"/>
          <w:b/>
          <w:bCs/>
          <w:lang w:eastAsia="zh-CN"/>
        </w:rPr>
      </w:pPr>
    </w:p>
    <w:p w14:paraId="4FBE35EC" w14:textId="77777777" w:rsidR="00DF38D8" w:rsidRPr="00344ADC" w:rsidRDefault="00DF38D8" w:rsidP="00344ADC">
      <w:pPr>
        <w:rPr>
          <w:rFonts w:eastAsia="SimSun"/>
        </w:rPr>
      </w:pPr>
    </w:p>
    <w:p w14:paraId="6FFABBC1" w14:textId="5A97F5AB"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SimSun"/>
        </w:rPr>
      </w:pPr>
    </w:p>
    <w:p w14:paraId="32C32FAF" w14:textId="61BC2A1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DU DL</w:t>
      </w:r>
    </w:p>
    <w:p w14:paraId="32422651" w14:textId="6DEF6E1C"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SimSun"/>
        </w:rPr>
      </w:pPr>
    </w:p>
    <w:p w14:paraId="0FBFA908" w14:textId="24DFDDDD"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9F2FD3A" w14:textId="77777777" w:rsidR="006F370D" w:rsidRPr="00344ADC" w:rsidRDefault="006F370D" w:rsidP="000609C7">
      <w:pPr>
        <w:rPr>
          <w:rFonts w:eastAsia="SimSun"/>
          <w:lang w:eastAsia="zh-CN"/>
        </w:rPr>
      </w:pPr>
    </w:p>
    <w:p w14:paraId="4A02C678" w14:textId="10B2220A"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885103" w14:textId="77777777" w:rsidR="006F370D" w:rsidRPr="00344ADC" w:rsidRDefault="006F370D" w:rsidP="000609C7">
      <w:pPr>
        <w:rPr>
          <w:rFonts w:eastAsia="SimSun"/>
        </w:rPr>
      </w:pPr>
    </w:p>
    <w:p w14:paraId="2BDF86F7" w14:textId="34456951"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91FDAA4" w14:textId="77777777" w:rsidR="00A54A92" w:rsidRPr="00344ADC" w:rsidRDefault="00A54A92" w:rsidP="00344ADC">
      <w:pPr>
        <w:rPr>
          <w:rFonts w:eastAsia="SimSun"/>
        </w:rPr>
      </w:pPr>
    </w:p>
    <w:p w14:paraId="293C7D0D" w14:textId="6697076E"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89B386F" w14:textId="77777777" w:rsidR="00A54A92" w:rsidRPr="00344ADC" w:rsidRDefault="00A54A92" w:rsidP="00344ADC">
      <w:pPr>
        <w:rPr>
          <w:rFonts w:eastAsia="SimSun"/>
        </w:rPr>
      </w:pPr>
    </w:p>
    <w:p w14:paraId="5FD6CF44" w14:textId="66C3BAF1"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52C348B3" w14:textId="17F12A76"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SimSun"/>
        </w:rPr>
      </w:pPr>
    </w:p>
    <w:p w14:paraId="3ABEC2C3" w14:textId="3BDF62E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20841D29" w14:textId="29E58949"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SimSun"/>
        </w:rPr>
      </w:pPr>
    </w:p>
    <w:p w14:paraId="0D7571F2" w14:textId="625C64D4"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F58417F" w14:textId="77777777" w:rsidR="00C75C0F" w:rsidRPr="00344ADC" w:rsidRDefault="00C75C0F" w:rsidP="000609C7">
      <w:pPr>
        <w:rPr>
          <w:rFonts w:eastAsia="SimSun"/>
        </w:rPr>
      </w:pPr>
    </w:p>
    <w:p w14:paraId="28BD552E" w14:textId="6FB3E00C"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5D087FDB" w14:textId="77777777" w:rsidR="00C75C0F" w:rsidRPr="00344ADC" w:rsidRDefault="00C75C0F" w:rsidP="00344ADC">
      <w:pPr>
        <w:rPr>
          <w:rFonts w:eastAsia="SimSun"/>
          <w:lang w:eastAsia="zh-CN"/>
        </w:rPr>
      </w:pPr>
    </w:p>
    <w:p w14:paraId="6DA11685" w14:textId="33C4946A"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1DC92DE" w14:textId="77777777" w:rsidR="00C75C0F" w:rsidRPr="00344ADC" w:rsidRDefault="00C75C0F" w:rsidP="00344ADC">
      <w:pPr>
        <w:rPr>
          <w:rFonts w:eastAsia="SimSun"/>
        </w:rPr>
      </w:pPr>
    </w:p>
    <w:p w14:paraId="177E7915" w14:textId="555BE1AB"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76C5ACA6" w14:textId="77777777" w:rsidR="000609C7" w:rsidRPr="00344ADC" w:rsidRDefault="000609C7" w:rsidP="00344ADC">
      <w:pPr>
        <w:rPr>
          <w:rFonts w:eastAsia="SimSun"/>
        </w:rPr>
      </w:pPr>
    </w:p>
    <w:p w14:paraId="48C717E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8EC6870" w14:textId="77777777" w:rsidR="00DF38D8" w:rsidRPr="00344ADC" w:rsidRDefault="00DF38D8" w:rsidP="00DF38D8">
      <w:pPr>
        <w:rPr>
          <w:rFonts w:eastAsia="SimSun"/>
        </w:rPr>
      </w:pPr>
    </w:p>
    <w:p w14:paraId="406F45A9" w14:textId="30E3077C"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D86B34E" w14:textId="77777777" w:rsidTr="00602A90">
        <w:tc>
          <w:tcPr>
            <w:tcW w:w="662" w:type="pct"/>
          </w:tcPr>
          <w:p w14:paraId="0E68AE5F" w14:textId="22642780"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F62217" w14:textId="7C586D84"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70065E0F" w14:textId="77777777" w:rsidTr="00602A90">
        <w:tc>
          <w:tcPr>
            <w:tcW w:w="662" w:type="pct"/>
          </w:tcPr>
          <w:p w14:paraId="1399A735" w14:textId="2C26DDD2"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A189A27"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4CDEB457" w14:textId="77777777" w:rsidR="0090192C" w:rsidRDefault="0090192C" w:rsidP="0090192C">
            <w:pPr>
              <w:rPr>
                <w:rFonts w:eastAsia="Calibri"/>
                <w:lang w:val="en-GB" w:eastAsia="zh-CN"/>
              </w:rPr>
            </w:pPr>
          </w:p>
          <w:p w14:paraId="16B95635"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5F2CF89B" w14:textId="77777777" w:rsidR="0090192C" w:rsidRDefault="0090192C" w:rsidP="0090192C">
            <w:pPr>
              <w:rPr>
                <w:rFonts w:eastAsia="Calibri"/>
                <w:lang w:val="en-GB" w:eastAsia="zh-CN"/>
              </w:rPr>
            </w:pPr>
          </w:p>
          <w:p w14:paraId="5B4A4BD7"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4C4C68C5" w14:textId="77777777" w:rsidR="0090192C" w:rsidRDefault="0090192C" w:rsidP="0090192C">
            <w:pPr>
              <w:rPr>
                <w:rFonts w:eastAsia="Calibri"/>
                <w:lang w:val="en-GB" w:eastAsia="zh-CN"/>
              </w:rPr>
            </w:pPr>
          </w:p>
          <w:p w14:paraId="08B05700" w14:textId="6DE3813F"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9F2BD35" w14:textId="77777777" w:rsidTr="00602A90">
        <w:tc>
          <w:tcPr>
            <w:tcW w:w="662" w:type="pct"/>
          </w:tcPr>
          <w:p w14:paraId="5AA03C5D" w14:textId="22DE3BC8"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5038B132" w14:textId="3208FD31"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bl>
    <w:p w14:paraId="3F535518" w14:textId="77777777" w:rsidR="00DF38D8" w:rsidRPr="00344ADC" w:rsidRDefault="00DF38D8" w:rsidP="00DF38D8">
      <w:pPr>
        <w:rPr>
          <w:rFonts w:eastAsia="SimSun"/>
        </w:rPr>
      </w:pPr>
    </w:p>
    <w:p w14:paraId="7AF44611" w14:textId="77777777" w:rsidR="00DF38D8" w:rsidRPr="00344ADC" w:rsidRDefault="00DF38D8" w:rsidP="00DF38D8">
      <w:pPr>
        <w:rPr>
          <w:rFonts w:eastAsia="SimSun"/>
        </w:rPr>
      </w:pPr>
    </w:p>
    <w:p w14:paraId="3120FFDD" w14:textId="77777777" w:rsidR="00DF38D8" w:rsidRPr="00344ADC" w:rsidRDefault="00DF38D8" w:rsidP="00DF38D8">
      <w:pPr>
        <w:rPr>
          <w:rFonts w:eastAsia="SimSun"/>
        </w:rPr>
      </w:pPr>
    </w:p>
    <w:p w14:paraId="358BE03D" w14:textId="47D6AA16"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3972C657" w14:textId="77777777" w:rsidTr="00602A90">
        <w:tc>
          <w:tcPr>
            <w:tcW w:w="662" w:type="pct"/>
          </w:tcPr>
          <w:p w14:paraId="5C58C8B7" w14:textId="6135D33E" w:rsidR="00690110" w:rsidRPr="00344ADC" w:rsidRDefault="00690110" w:rsidP="00690110">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5518F4C3" w14:textId="3071FA5C"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14:paraId="7EDA3760" w14:textId="77777777" w:rsidTr="00602A90">
        <w:tc>
          <w:tcPr>
            <w:tcW w:w="662" w:type="pct"/>
          </w:tcPr>
          <w:p w14:paraId="032FC7DC" w14:textId="77777777" w:rsidR="00690110" w:rsidRPr="00344ADC" w:rsidRDefault="00690110" w:rsidP="00690110">
            <w:pPr>
              <w:spacing w:after="180" w:line="259" w:lineRule="auto"/>
              <w:rPr>
                <w:rFonts w:eastAsia="SimSun"/>
                <w:szCs w:val="20"/>
                <w:lang w:eastAsia="zh-CN"/>
              </w:rPr>
            </w:pPr>
          </w:p>
        </w:tc>
        <w:tc>
          <w:tcPr>
            <w:tcW w:w="4338" w:type="pct"/>
          </w:tcPr>
          <w:p w14:paraId="5B12E4A3" w14:textId="77777777" w:rsidR="00690110" w:rsidRPr="00344ADC" w:rsidRDefault="00690110" w:rsidP="00690110">
            <w:pPr>
              <w:spacing w:after="180" w:line="259" w:lineRule="auto"/>
              <w:rPr>
                <w:rFonts w:eastAsia="SimSun"/>
                <w:szCs w:val="20"/>
                <w:lang w:eastAsia="zh-CN"/>
              </w:rPr>
            </w:pPr>
          </w:p>
        </w:tc>
      </w:tr>
    </w:tbl>
    <w:p w14:paraId="5A04864B" w14:textId="148B5FE1" w:rsidR="00DF38D8" w:rsidRPr="00344ADC" w:rsidRDefault="00DF38D8" w:rsidP="00DF38D8">
      <w:pPr>
        <w:rPr>
          <w:rFonts w:eastAsia="SimSun"/>
        </w:rPr>
      </w:pPr>
    </w:p>
    <w:p w14:paraId="41E9F3E9" w14:textId="77777777" w:rsidR="00DF38D8" w:rsidRPr="00344ADC" w:rsidRDefault="00DF38D8" w:rsidP="00DF38D8">
      <w:pPr>
        <w:rPr>
          <w:rFonts w:eastAsia="SimSun"/>
        </w:rPr>
      </w:pPr>
    </w:p>
    <w:p w14:paraId="56424E6A" w14:textId="77777777" w:rsidR="00DF38D8" w:rsidRPr="00344ADC" w:rsidRDefault="00DF38D8" w:rsidP="00344ADC">
      <w:pPr>
        <w:pStyle w:val="ListParagraph"/>
      </w:pPr>
    </w:p>
    <w:p w14:paraId="5AB3DF88" w14:textId="77777777" w:rsidR="007C65D1" w:rsidRPr="00344ADC" w:rsidRDefault="007C65D1" w:rsidP="00344ADC">
      <w:pPr>
        <w:pStyle w:val="ListParagraph"/>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08988B1B" w14:textId="472F59A4"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4A5EC952" w14:textId="16DC396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Caption"/>
        <w:jc w:val="center"/>
        <w:rPr>
          <w:b/>
          <w:bCs/>
          <w:u w:val="single"/>
        </w:rPr>
      </w:pPr>
      <w:bookmarkStart w:id="5" w:name="_Ref80046390"/>
      <w:r>
        <w:t xml:space="preserve">Table </w:t>
      </w:r>
      <w:r>
        <w:fldChar w:fldCharType="begin"/>
      </w:r>
      <w:r>
        <w:instrText xml:space="preserve"> SEQ Table \* ARABIC </w:instrText>
      </w:r>
      <w:r>
        <w:fldChar w:fldCharType="separate"/>
      </w:r>
      <w:r>
        <w:rPr>
          <w:noProof/>
        </w:rPr>
        <w:t>1</w:t>
      </w:r>
      <w:r>
        <w:fldChar w:fldCharType="end"/>
      </w:r>
      <w:bookmarkEnd w:id="5"/>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lastRenderedPageBreak/>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t>Note 1A: the interval of packet arrival among UEs are equal</w:t>
            </w:r>
          </w:p>
          <w:p w14:paraId="76949C28" w14:textId="77777777" w:rsidR="00DC0183" w:rsidRPr="0091371E" w:rsidRDefault="00DC0183" w:rsidP="00DC018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proofErr w:type="spellStart"/>
      <w:r>
        <w:rPr>
          <w:b/>
          <w:bCs/>
          <w:u w:val="single"/>
        </w:rPr>
        <w:lastRenderedPageBreak/>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Caption"/>
        <w:jc w:val="center"/>
        <w:rPr>
          <w:b/>
          <w:bCs/>
          <w:u w:val="single"/>
        </w:rPr>
      </w:pPr>
      <w:bookmarkStart w:id="6" w:name="_Ref80046554"/>
      <w:r>
        <w:t xml:space="preserve">Table </w:t>
      </w:r>
      <w:r>
        <w:fldChar w:fldCharType="begin"/>
      </w:r>
      <w:r>
        <w:instrText xml:space="preserve"> SEQ Table \* ARABIC </w:instrText>
      </w:r>
      <w:r>
        <w:fldChar w:fldCharType="separate"/>
      </w:r>
      <w:r>
        <w:rPr>
          <w:noProof/>
        </w:rPr>
        <w:t>4</w:t>
      </w:r>
      <w:r>
        <w:fldChar w:fldCharType="end"/>
      </w:r>
      <w:bookmarkEnd w:id="6"/>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7" w:name="_Ref80046595"/>
      <w:r>
        <w:t xml:space="preserve">Table </w:t>
      </w:r>
      <w:r w:rsidR="0030304B">
        <w:fldChar w:fldCharType="begin"/>
      </w:r>
      <w:r w:rsidR="0030304B">
        <w:instrText xml:space="preserve"> SEQ Table \* ARABIC </w:instrText>
      </w:r>
      <w:r w:rsidR="0030304B">
        <w:fldChar w:fldCharType="separate"/>
      </w:r>
      <w:r>
        <w:rPr>
          <w:noProof/>
        </w:rPr>
        <w:t>5</w:t>
      </w:r>
      <w:r w:rsidR="0030304B">
        <w:rPr>
          <w:noProof/>
        </w:rPr>
        <w:fldChar w:fldCharType="end"/>
      </w:r>
      <w:bookmarkEnd w:id="7"/>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6</w:t>
      </w:r>
      <w:r w:rsidR="0030304B">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lastRenderedPageBreak/>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7</w:t>
      </w:r>
      <w:r w:rsidR="0030304B">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8" w:name="_Ref80046602"/>
      <w:r>
        <w:t xml:space="preserve">Table </w:t>
      </w:r>
      <w:r w:rsidR="0030304B">
        <w:fldChar w:fldCharType="begin"/>
      </w:r>
      <w:r w:rsidR="0030304B">
        <w:instrText xml:space="preserve"> SEQ Table \* ARABIC </w:instrText>
      </w:r>
      <w:r w:rsidR="0030304B">
        <w:fldChar w:fldCharType="separate"/>
      </w:r>
      <w:r>
        <w:rPr>
          <w:noProof/>
        </w:rPr>
        <w:t>8</w:t>
      </w:r>
      <w:r w:rsidR="0030304B">
        <w:rPr>
          <w:noProof/>
        </w:rPr>
        <w:fldChar w:fldCharType="end"/>
      </w:r>
      <w:bookmarkEnd w:id="8"/>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lastRenderedPageBreak/>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9" w:name="_Ref80046617"/>
      <w:r>
        <w:t xml:space="preserve">Table </w:t>
      </w:r>
      <w:r w:rsidR="0030304B">
        <w:fldChar w:fldCharType="begin"/>
      </w:r>
      <w:r w:rsidR="0030304B">
        <w:instrText xml:space="preserve"> SEQ Table \* ARABIC </w:instrText>
      </w:r>
      <w:r w:rsidR="0030304B">
        <w:fldChar w:fldCharType="separate"/>
      </w:r>
      <w:r>
        <w:rPr>
          <w:noProof/>
        </w:rPr>
        <w:t>9</w:t>
      </w:r>
      <w:r w:rsidR="0030304B">
        <w:rPr>
          <w:noProof/>
        </w:rPr>
        <w:fldChar w:fldCharType="end"/>
      </w:r>
      <w:bookmarkEnd w:id="9"/>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10</w:t>
      </w:r>
      <w:r w:rsidR="0030304B">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lastRenderedPageBreak/>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11</w:t>
      </w:r>
      <w:r w:rsidR="0030304B">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0" w:name="_Ref80046628"/>
      <w:r>
        <w:t xml:space="preserve">Table </w:t>
      </w:r>
      <w:r w:rsidR="0030304B">
        <w:fldChar w:fldCharType="begin"/>
      </w:r>
      <w:r w:rsidR="0030304B">
        <w:instrText xml:space="preserve"> SEQ Table \* ARABIC </w:instrText>
      </w:r>
      <w:r w:rsidR="0030304B">
        <w:fldChar w:fldCharType="separate"/>
      </w:r>
      <w:r w:rsidR="00CC6766">
        <w:rPr>
          <w:noProof/>
        </w:rPr>
        <w:t>12</w:t>
      </w:r>
      <w:r w:rsidR="0030304B">
        <w:rPr>
          <w:noProof/>
        </w:rPr>
        <w:fldChar w:fldCharType="end"/>
      </w:r>
      <w:bookmarkEnd w:id="10"/>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1" w:name="_Ref80046646"/>
      <w:r>
        <w:t xml:space="preserve">Table </w:t>
      </w:r>
      <w:r w:rsidR="0030304B">
        <w:fldChar w:fldCharType="begin"/>
      </w:r>
      <w:r w:rsidR="0030304B">
        <w:instrText xml:space="preserve"> SEQ Table \* ARABIC </w:instrText>
      </w:r>
      <w:r w:rsidR="0030304B">
        <w:fldChar w:fldCharType="separate"/>
      </w:r>
      <w:r>
        <w:rPr>
          <w:noProof/>
        </w:rPr>
        <w:t>13</w:t>
      </w:r>
      <w:r w:rsidR="0030304B">
        <w:rPr>
          <w:noProof/>
        </w:rPr>
        <w:fldChar w:fldCharType="end"/>
      </w:r>
      <w:bookmarkEnd w:id="11"/>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lastRenderedPageBreak/>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14</w:t>
      </w:r>
      <w:r w:rsidR="0030304B">
        <w:rPr>
          <w:noProof/>
        </w:rPr>
        <w:fldChar w:fldCharType="end"/>
      </w:r>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2" w:name="_Ref80046702"/>
      <w:r>
        <w:t xml:space="preserve">Table </w:t>
      </w:r>
      <w:r w:rsidR="0030304B">
        <w:fldChar w:fldCharType="begin"/>
      </w:r>
      <w:r w:rsidR="0030304B">
        <w:instrText xml:space="preserve"> SEQ Table \* ARABIC </w:instrText>
      </w:r>
      <w:r w:rsidR="0030304B">
        <w:fldChar w:fldCharType="separate"/>
      </w:r>
      <w:r>
        <w:rPr>
          <w:noProof/>
        </w:rPr>
        <w:t>15</w:t>
      </w:r>
      <w:r w:rsidR="0030304B">
        <w:rPr>
          <w:noProof/>
        </w:rPr>
        <w:fldChar w:fldCharType="end"/>
      </w:r>
      <w:bookmarkEnd w:id="12"/>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3" w:name="_Ref80046714"/>
      <w:r>
        <w:t xml:space="preserve">Table </w:t>
      </w:r>
      <w:r w:rsidR="0030304B">
        <w:fldChar w:fldCharType="begin"/>
      </w:r>
      <w:r w:rsidR="0030304B">
        <w:instrText xml:space="preserve"> SEQ Table \* ARABIC </w:instrText>
      </w:r>
      <w:r w:rsidR="0030304B">
        <w:fldChar w:fldCharType="separate"/>
      </w:r>
      <w:r>
        <w:rPr>
          <w:noProof/>
        </w:rPr>
        <w:t>16</w:t>
      </w:r>
      <w:r w:rsidR="0030304B">
        <w:rPr>
          <w:noProof/>
        </w:rPr>
        <w:fldChar w:fldCharType="end"/>
      </w:r>
      <w:bookmarkEnd w:id="13"/>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lastRenderedPageBreak/>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17</w:t>
      </w:r>
      <w:r w:rsidR="0030304B">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4" w:name="_Ref80046721"/>
      <w:r>
        <w:t xml:space="preserve">Table </w:t>
      </w:r>
      <w:r w:rsidR="0030304B">
        <w:fldChar w:fldCharType="begin"/>
      </w:r>
      <w:r w:rsidR="0030304B">
        <w:instrText xml:space="preserve"> SEQ Table \* ARABIC </w:instrText>
      </w:r>
      <w:r w:rsidR="0030304B">
        <w:fldChar w:fldCharType="separate"/>
      </w:r>
      <w:r>
        <w:rPr>
          <w:noProof/>
        </w:rPr>
        <w:t>18</w:t>
      </w:r>
      <w:r w:rsidR="0030304B">
        <w:rPr>
          <w:noProof/>
        </w:rPr>
        <w:fldChar w:fldCharType="end"/>
      </w:r>
      <w:bookmarkEnd w:id="1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5" w:name="_Ref80046733"/>
      <w:r>
        <w:t xml:space="preserve">Table </w:t>
      </w:r>
      <w:r w:rsidR="0030304B">
        <w:fldChar w:fldCharType="begin"/>
      </w:r>
      <w:r w:rsidR="0030304B">
        <w:instrText xml:space="preserve"> SEQ Table \* ARABIC </w:instrText>
      </w:r>
      <w:r w:rsidR="0030304B">
        <w:fldChar w:fldCharType="separate"/>
      </w:r>
      <w:r>
        <w:rPr>
          <w:noProof/>
        </w:rPr>
        <w:t>19</w:t>
      </w:r>
      <w:r w:rsidR="0030304B">
        <w:rPr>
          <w:noProof/>
        </w:rPr>
        <w:fldChar w:fldCharType="end"/>
      </w:r>
      <w:bookmarkEnd w:id="1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20</w:t>
      </w:r>
      <w:r w:rsidR="0030304B">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6" w:name="_Ref80046746"/>
      <w:r>
        <w:t xml:space="preserve">Table </w:t>
      </w:r>
      <w:r w:rsidR="0030304B">
        <w:fldChar w:fldCharType="begin"/>
      </w:r>
      <w:r w:rsidR="0030304B">
        <w:instrText xml:space="preserve"> SEQ Table \* ARABIC </w:instrText>
      </w:r>
      <w:r w:rsidR="0030304B">
        <w:fldChar w:fldCharType="separate"/>
      </w:r>
      <w:r>
        <w:rPr>
          <w:noProof/>
        </w:rPr>
        <w:t>21</w:t>
      </w:r>
      <w:r w:rsidR="0030304B">
        <w:rPr>
          <w:noProof/>
        </w:rPr>
        <w:fldChar w:fldCharType="end"/>
      </w:r>
      <w:bookmarkEnd w:id="1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Capacity Results: FR2 DL</w:t>
      </w:r>
    </w:p>
    <w:p w14:paraId="237FC62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7" w:name="_Ref80046757"/>
      <w:r>
        <w:t xml:space="preserve">Table </w:t>
      </w:r>
      <w:r w:rsidR="0030304B">
        <w:fldChar w:fldCharType="begin"/>
      </w:r>
      <w:r w:rsidR="0030304B">
        <w:instrText xml:space="preserve"> SEQ Table \* ARABIC </w:instrText>
      </w:r>
      <w:r w:rsidR="0030304B">
        <w:fldChar w:fldCharType="separate"/>
      </w:r>
      <w:r>
        <w:rPr>
          <w:noProof/>
        </w:rPr>
        <w:t>22</w:t>
      </w:r>
      <w:r w:rsidR="0030304B">
        <w:rPr>
          <w:noProof/>
        </w:rPr>
        <w:fldChar w:fldCharType="end"/>
      </w:r>
      <w:bookmarkEnd w:id="17"/>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23</w:t>
      </w:r>
      <w:r w:rsidR="0030304B">
        <w:rPr>
          <w:noProof/>
        </w:rPr>
        <w:fldChar w:fldCharType="end"/>
      </w:r>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t>Ericsson</w:t>
            </w:r>
            <w:bookmarkEnd w:id="18"/>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24</w:t>
      </w:r>
      <w:r w:rsidR="0030304B">
        <w:rPr>
          <w:noProof/>
        </w:rPr>
        <w:fldChar w:fldCharType="end"/>
      </w:r>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lastRenderedPageBreak/>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19" w:name="_Ref80046762"/>
      <w:r>
        <w:t xml:space="preserve">Table </w:t>
      </w:r>
      <w:r w:rsidR="0030304B">
        <w:fldChar w:fldCharType="begin"/>
      </w:r>
      <w:r w:rsidR="0030304B">
        <w:instrText xml:space="preserve"> SEQ Table \* ARABIC </w:instrText>
      </w:r>
      <w:r w:rsidR="0030304B">
        <w:fldChar w:fldCharType="separate"/>
      </w:r>
      <w:r>
        <w:rPr>
          <w:noProof/>
        </w:rPr>
        <w:t>25</w:t>
      </w:r>
      <w:r w:rsidR="0030304B">
        <w:rPr>
          <w:noProof/>
        </w:rPr>
        <w:fldChar w:fldCharType="end"/>
      </w:r>
      <w:bookmarkEnd w:id="19"/>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0" w:name="_Ref80046774"/>
      <w:r>
        <w:t xml:space="preserve">Table </w:t>
      </w:r>
      <w:r w:rsidR="0030304B">
        <w:fldChar w:fldCharType="begin"/>
      </w:r>
      <w:r w:rsidR="0030304B">
        <w:instrText xml:space="preserve"> SEQ Table \* ARABIC </w:instrText>
      </w:r>
      <w:r w:rsidR="0030304B">
        <w:fldChar w:fldCharType="separate"/>
      </w:r>
      <w:r>
        <w:rPr>
          <w:noProof/>
        </w:rPr>
        <w:t>26</w:t>
      </w:r>
      <w:r w:rsidR="0030304B">
        <w:rPr>
          <w:noProof/>
        </w:rPr>
        <w:fldChar w:fldCharType="end"/>
      </w:r>
      <w:bookmarkEnd w:id="2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27</w:t>
      </w:r>
      <w:r w:rsidR="0030304B">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lastRenderedPageBreak/>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28</w:t>
      </w:r>
      <w:r w:rsidR="0030304B">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1" w:name="_Ref80046783"/>
      <w:r>
        <w:t xml:space="preserve">Table </w:t>
      </w:r>
      <w:r w:rsidR="0030304B">
        <w:fldChar w:fldCharType="begin"/>
      </w:r>
      <w:r w:rsidR="0030304B">
        <w:instrText xml:space="preserve"> SEQ Table \* ARABIC </w:instrText>
      </w:r>
      <w:r w:rsidR="0030304B">
        <w:fldChar w:fldCharType="separate"/>
      </w:r>
      <w:r>
        <w:rPr>
          <w:noProof/>
        </w:rPr>
        <w:t>29</w:t>
      </w:r>
      <w:r w:rsidR="0030304B">
        <w:rPr>
          <w:noProof/>
        </w:rPr>
        <w:fldChar w:fldCharType="end"/>
      </w:r>
      <w:bookmarkEnd w:id="2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2" w:name="_Ref80082594"/>
      <w:r>
        <w:t xml:space="preserve">Table </w:t>
      </w:r>
      <w:r w:rsidR="0030304B">
        <w:fldChar w:fldCharType="begin"/>
      </w:r>
      <w:r w:rsidR="0030304B">
        <w:instrText xml:space="preserve"> SEQ Table \* ARABIC </w:instrText>
      </w:r>
      <w:r w:rsidR="0030304B">
        <w:fldChar w:fldCharType="separate"/>
      </w:r>
      <w:r>
        <w:rPr>
          <w:noProof/>
        </w:rPr>
        <w:t>30</w:t>
      </w:r>
      <w:r w:rsidR="0030304B">
        <w:rPr>
          <w:noProof/>
        </w:rPr>
        <w:fldChar w:fldCharType="end"/>
      </w:r>
      <w:bookmarkEnd w:id="22"/>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6FE4C392" w14:textId="4CD07D1E" w:rsidR="00084340" w:rsidRPr="0090192C" w:rsidRDefault="00EA60BD" w:rsidP="00EA60BD">
            <w:pPr>
              <w:jc w:val="both"/>
              <w:rPr>
                <w:sz w:val="16"/>
                <w:szCs w:val="16"/>
                <w:lang w:val="sv-SE"/>
              </w:rPr>
            </w:pPr>
            <w:r w:rsidRPr="0090192C">
              <w:rPr>
                <w:sz w:val="16"/>
                <w:szCs w:val="16"/>
                <w:lang w:val="sv-SE"/>
              </w:rPr>
              <w:t>Note 5: mini-slot, 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31</w:t>
      </w:r>
      <w:r w:rsidR="0030304B">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3" w:name="_Ref80082607"/>
      <w:r>
        <w:t xml:space="preserve">Table </w:t>
      </w:r>
      <w:r w:rsidR="0030304B">
        <w:fldChar w:fldCharType="begin"/>
      </w:r>
      <w:r w:rsidR="0030304B">
        <w:instrText xml:space="preserve"> SEQ Table \* ARABIC </w:instrText>
      </w:r>
      <w:r w:rsidR="0030304B">
        <w:fldChar w:fldCharType="separate"/>
      </w:r>
      <w:r>
        <w:rPr>
          <w:noProof/>
        </w:rPr>
        <w:t>32</w:t>
      </w:r>
      <w:r w:rsidR="0030304B">
        <w:rPr>
          <w:noProof/>
        </w:rPr>
        <w:fldChar w:fldCharType="end"/>
      </w:r>
      <w:bookmarkEnd w:id="23"/>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4" w:name="_Ref80083528"/>
      <w:r>
        <w:t xml:space="preserve">Table </w:t>
      </w:r>
      <w:r w:rsidR="0030304B">
        <w:fldChar w:fldCharType="begin"/>
      </w:r>
      <w:r w:rsidR="0030304B">
        <w:instrText xml:space="preserve"> SEQ Table \* ARABIC </w:instrText>
      </w:r>
      <w:r w:rsidR="0030304B">
        <w:fldChar w:fldCharType="separate"/>
      </w:r>
      <w:r>
        <w:rPr>
          <w:noProof/>
        </w:rPr>
        <w:t>33</w:t>
      </w:r>
      <w:r w:rsidR="0030304B">
        <w:rPr>
          <w:noProof/>
        </w:rPr>
        <w:fldChar w:fldCharType="end"/>
      </w:r>
      <w:bookmarkEnd w:id="24"/>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5" w:name="_Ref80083499"/>
      <w:r>
        <w:t xml:space="preserve">Table </w:t>
      </w:r>
      <w:r w:rsidR="0030304B">
        <w:fldChar w:fldCharType="begin"/>
      </w:r>
      <w:r w:rsidR="0030304B">
        <w:instrText xml:space="preserve"> SEQ Table \* ARABIC </w:instrText>
      </w:r>
      <w:r w:rsidR="0030304B">
        <w:fldChar w:fldCharType="separate"/>
      </w:r>
      <w:r>
        <w:rPr>
          <w:noProof/>
        </w:rPr>
        <w:t>34</w:t>
      </w:r>
      <w:r w:rsidR="0030304B">
        <w:rPr>
          <w:noProof/>
        </w:rPr>
        <w:fldChar w:fldCharType="end"/>
      </w:r>
      <w:bookmarkEnd w:id="2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4E30F5C" w14:textId="4505F18E"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35</w:t>
      </w:r>
      <w:r w:rsidR="0030304B">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854EB9">
        <w:rPr>
          <w:noProof/>
        </w:rPr>
        <w:t>36</w:t>
      </w:r>
      <w:r w:rsidR="0030304B">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6" w:name="_Ref80083508"/>
      <w:r>
        <w:t xml:space="preserve">Table </w:t>
      </w:r>
      <w:r w:rsidR="0030304B">
        <w:fldChar w:fldCharType="begin"/>
      </w:r>
      <w:r w:rsidR="0030304B">
        <w:instrText xml:space="preserve"> SEQ Table \* ARABIC </w:instrText>
      </w:r>
      <w:r w:rsidR="0030304B">
        <w:fldChar w:fldCharType="separate"/>
      </w:r>
      <w:r>
        <w:rPr>
          <w:noProof/>
        </w:rPr>
        <w:t>37</w:t>
      </w:r>
      <w:r w:rsidR="0030304B">
        <w:rPr>
          <w:noProof/>
        </w:rPr>
        <w:fldChar w:fldCharType="end"/>
      </w:r>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proofErr w:type="spellStart"/>
      <w:r w:rsidRPr="00AA46B4">
        <w:rPr>
          <w:b/>
          <w:bCs/>
          <w:u w:val="single"/>
        </w:rPr>
        <w:lastRenderedPageBreak/>
        <w:t>InH</w:t>
      </w:r>
      <w:proofErr w:type="spellEnd"/>
      <w:r w:rsidRPr="00AA46B4">
        <w:rPr>
          <w:b/>
          <w:bCs/>
          <w:u w:val="single"/>
        </w:rPr>
        <w:t>, CG, 30Mbps, 15ms PDB, 100MHz bandwidth, DDDSU TDD format</w:t>
      </w:r>
    </w:p>
    <w:p w14:paraId="5372D29B" w14:textId="5539C038" w:rsidR="00AA46B4" w:rsidRDefault="00FB773B" w:rsidP="00FB773B">
      <w:pPr>
        <w:spacing w:before="120" w:after="120" w:line="276" w:lineRule="auto"/>
        <w:jc w:val="center"/>
      </w:pPr>
      <w:bookmarkStart w:id="27" w:name="_Ref80086496"/>
      <w:r>
        <w:t xml:space="preserve">Table </w:t>
      </w:r>
      <w:r w:rsidR="0030304B">
        <w:fldChar w:fldCharType="begin"/>
      </w:r>
      <w:r w:rsidR="0030304B">
        <w:instrText xml:space="preserve"> SEQ Table \* ARABIC </w:instrText>
      </w:r>
      <w:r w:rsidR="0030304B">
        <w:fldChar w:fldCharType="separate"/>
      </w:r>
      <w:r>
        <w:rPr>
          <w:noProof/>
        </w:rPr>
        <w:t>38</w:t>
      </w:r>
      <w:r w:rsidR="0030304B">
        <w:rPr>
          <w:noProof/>
        </w:rPr>
        <w:fldChar w:fldCharType="end"/>
      </w:r>
      <w:bookmarkEnd w:id="27"/>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r w:rsidRPr="00B673EB">
              <w:rPr>
                <w:rFonts w:eastAsiaTheme="minorEastAsia"/>
                <w:b/>
                <w:sz w:val="16"/>
                <w:szCs w:val="16"/>
                <w:lang w:eastAsia="zh-CN"/>
              </w:rPr>
              <w:t>avg # UEs/ cell = N1</w:t>
            </w:r>
            <w:bookmarkEnd w:id="28"/>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39</w:t>
      </w:r>
      <w:r w:rsidR="0030304B">
        <w:rPr>
          <w:noProof/>
        </w:rPr>
        <w:fldChar w:fldCharType="end"/>
      </w:r>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29" w:name="_Ref80086507"/>
      <w:r>
        <w:lastRenderedPageBreak/>
        <w:t xml:space="preserve">Table </w:t>
      </w:r>
      <w:r w:rsidR="0030304B">
        <w:fldChar w:fldCharType="begin"/>
      </w:r>
      <w:r w:rsidR="0030304B">
        <w:instrText xml:space="preserve"> SEQ Table \* ARABIC </w:instrText>
      </w:r>
      <w:r w:rsidR="0030304B">
        <w:fldChar w:fldCharType="separate"/>
      </w:r>
      <w:r>
        <w:rPr>
          <w:noProof/>
        </w:rPr>
        <w:t>40</w:t>
      </w:r>
      <w:r w:rsidR="0030304B">
        <w:rPr>
          <w:noProof/>
        </w:rPr>
        <w:fldChar w:fldCharType="end"/>
      </w:r>
      <w:bookmarkEnd w:id="29"/>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0" w:name="_Ref80088531"/>
      <w:r>
        <w:t xml:space="preserve">Table </w:t>
      </w:r>
      <w:r w:rsidR="0030304B">
        <w:fldChar w:fldCharType="begin"/>
      </w:r>
      <w:r w:rsidR="0030304B">
        <w:instrText xml:space="preserve"> SEQ Table \* ARABIC </w:instrText>
      </w:r>
      <w:r w:rsidR="0030304B">
        <w:fldChar w:fldCharType="separate"/>
      </w:r>
      <w:r>
        <w:rPr>
          <w:noProof/>
        </w:rPr>
        <w:t>41</w:t>
      </w:r>
      <w:r w:rsidR="0030304B">
        <w:rPr>
          <w:noProof/>
        </w:rPr>
        <w:fldChar w:fldCharType="end"/>
      </w:r>
      <w:bookmarkEnd w:id="3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Pr>
          <w:noProof/>
        </w:rPr>
        <w:t>42</w:t>
      </w:r>
      <w:r w:rsidR="0030304B">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lastRenderedPageBreak/>
              <w:t>vivo</w:t>
            </w:r>
          </w:p>
        </w:tc>
        <w:tc>
          <w:tcPr>
            <w:tcW w:w="1903" w:type="dxa"/>
            <w:vAlign w:val="center"/>
          </w:tcPr>
          <w:p w14:paraId="630E4724" w14:textId="27FBA91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76F6130B" w14:textId="6BCEE33F"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1" w:name="_Ref80088540"/>
      <w:r>
        <w:t xml:space="preserve">Table </w:t>
      </w:r>
      <w:r w:rsidR="0030304B">
        <w:fldChar w:fldCharType="begin"/>
      </w:r>
      <w:r w:rsidR="0030304B">
        <w:instrText xml:space="preserve"> SEQ Table \* ARABIC </w:instrText>
      </w:r>
      <w:r w:rsidR="0030304B">
        <w:fldChar w:fldCharType="separate"/>
      </w:r>
      <w:r>
        <w:rPr>
          <w:noProof/>
        </w:rPr>
        <w:t>43</w:t>
      </w:r>
      <w:r w:rsidR="0030304B">
        <w:rPr>
          <w:noProof/>
        </w:rPr>
        <w:fldChar w:fldCharType="end"/>
      </w:r>
      <w:bookmarkEnd w:id="31"/>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2" w:name="_Ref80089344"/>
      <w:r>
        <w:t xml:space="preserve">Table </w:t>
      </w:r>
      <w:r w:rsidR="0030304B">
        <w:fldChar w:fldCharType="begin"/>
      </w:r>
      <w:r w:rsidR="0030304B">
        <w:instrText xml:space="preserve"> SEQ Table \* ARABIC </w:instrText>
      </w:r>
      <w:r w:rsidR="0030304B">
        <w:fldChar w:fldCharType="separate"/>
      </w:r>
      <w:r>
        <w:rPr>
          <w:noProof/>
        </w:rPr>
        <w:t>44</w:t>
      </w:r>
      <w:r w:rsidR="0030304B">
        <w:rPr>
          <w:noProof/>
        </w:rPr>
        <w:fldChar w:fldCharType="end"/>
      </w:r>
      <w:bookmarkEnd w:id="32"/>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3" w:name="_Ref80089352"/>
      <w:r>
        <w:t xml:space="preserve">Table </w:t>
      </w:r>
      <w:r w:rsidR="0030304B">
        <w:fldChar w:fldCharType="begin"/>
      </w:r>
      <w:r w:rsidR="0030304B">
        <w:instrText xml:space="preserve"> SEQ Table \* ARABIC </w:instrText>
      </w:r>
      <w:r w:rsidR="0030304B">
        <w:fldChar w:fldCharType="separate"/>
      </w:r>
      <w:r>
        <w:rPr>
          <w:noProof/>
        </w:rPr>
        <w:t>45</w:t>
      </w:r>
      <w:r w:rsidR="0030304B">
        <w:rPr>
          <w:noProof/>
        </w:rPr>
        <w:fldChar w:fldCharType="end"/>
      </w:r>
      <w:bookmarkEnd w:id="33"/>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4" w:name="_Ref80046831"/>
      <w:r>
        <w:t xml:space="preserve">Table </w:t>
      </w:r>
      <w:r w:rsidR="0030304B">
        <w:fldChar w:fldCharType="begin"/>
      </w:r>
      <w:r w:rsidR="0030304B">
        <w:instrText xml:space="preserve"> SEQ Table \* ARABIC </w:instrText>
      </w:r>
      <w:r w:rsidR="0030304B">
        <w:fldChar w:fldCharType="separate"/>
      </w:r>
      <w:r w:rsidR="00FC3309">
        <w:rPr>
          <w:noProof/>
        </w:rPr>
        <w:t>46</w:t>
      </w:r>
      <w:r w:rsidR="0030304B">
        <w:rPr>
          <w:noProof/>
        </w:rPr>
        <w:fldChar w:fldCharType="end"/>
      </w:r>
      <w:bookmarkEnd w:id="34"/>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47</w:t>
      </w:r>
      <w:r w:rsidR="0030304B">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5" w:name="_Ref80046839"/>
      <w:r>
        <w:t xml:space="preserve">Table </w:t>
      </w:r>
      <w:r w:rsidR="0030304B">
        <w:fldChar w:fldCharType="begin"/>
      </w:r>
      <w:r w:rsidR="0030304B">
        <w:instrText xml:space="preserve"> SEQ Table \* ARABIC </w:instrText>
      </w:r>
      <w:r w:rsidR="0030304B">
        <w:fldChar w:fldCharType="separate"/>
      </w:r>
      <w:r w:rsidR="00FC3309">
        <w:rPr>
          <w:noProof/>
        </w:rPr>
        <w:t>48</w:t>
      </w:r>
      <w:r w:rsidR="0030304B">
        <w:rPr>
          <w:noProof/>
        </w:rPr>
        <w:fldChar w:fldCharType="end"/>
      </w:r>
      <w:bookmarkEnd w:id="35"/>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6" w:name="_Ref80046849"/>
      <w:r>
        <w:t xml:space="preserve">Table </w:t>
      </w:r>
      <w:r w:rsidR="0030304B">
        <w:fldChar w:fldCharType="begin"/>
      </w:r>
      <w:r w:rsidR="0030304B">
        <w:instrText xml:space="preserve"> SEQ Table \* ARABIC </w:instrText>
      </w:r>
      <w:r w:rsidR="0030304B">
        <w:fldChar w:fldCharType="separate"/>
      </w:r>
      <w:r w:rsidR="00FC3309">
        <w:rPr>
          <w:noProof/>
        </w:rPr>
        <w:t>49</w:t>
      </w:r>
      <w:r w:rsidR="0030304B">
        <w:rPr>
          <w:noProof/>
        </w:rPr>
        <w:fldChar w:fldCharType="end"/>
      </w:r>
      <w:bookmarkEnd w:id="36"/>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50</w:t>
      </w:r>
      <w:r w:rsidR="0030304B">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t>100MHz bandwidth, DDDSU TDD format</w:t>
      </w:r>
    </w:p>
    <w:p w14:paraId="693CF24D" w14:textId="13D3C94C" w:rsidR="00FB773B" w:rsidRDefault="00FB773B" w:rsidP="00FB773B">
      <w:pPr>
        <w:spacing w:before="120" w:after="120" w:line="276" w:lineRule="auto"/>
        <w:jc w:val="center"/>
      </w:pPr>
      <w:bookmarkStart w:id="37" w:name="_Ref80046859"/>
      <w:r>
        <w:t xml:space="preserve">Table </w:t>
      </w:r>
      <w:r w:rsidR="0030304B">
        <w:fldChar w:fldCharType="begin"/>
      </w:r>
      <w:r w:rsidR="0030304B">
        <w:instrText xml:space="preserve"> SEQ Table \* ARABIC </w:instrText>
      </w:r>
      <w:r w:rsidR="0030304B">
        <w:fldChar w:fldCharType="separate"/>
      </w:r>
      <w:r w:rsidR="00FC3309">
        <w:rPr>
          <w:noProof/>
        </w:rPr>
        <w:t>51</w:t>
      </w:r>
      <w:r w:rsidR="0030304B">
        <w:rPr>
          <w:noProof/>
        </w:rPr>
        <w:fldChar w:fldCharType="end"/>
      </w:r>
      <w:bookmarkEnd w:id="37"/>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8" w:name="_Ref80046875"/>
      <w:r>
        <w:t xml:space="preserve">Table </w:t>
      </w:r>
      <w:r w:rsidR="0030304B">
        <w:fldChar w:fldCharType="begin"/>
      </w:r>
      <w:r w:rsidR="0030304B">
        <w:instrText xml:space="preserve"> SEQ Table \* ARABIC </w:instrText>
      </w:r>
      <w:r w:rsidR="0030304B">
        <w:fldChar w:fldCharType="separate"/>
      </w:r>
      <w:r w:rsidR="00FC3309">
        <w:rPr>
          <w:noProof/>
        </w:rPr>
        <w:t>52</w:t>
      </w:r>
      <w:r w:rsidR="0030304B">
        <w:rPr>
          <w:noProof/>
        </w:rPr>
        <w:fldChar w:fldCharType="end"/>
      </w:r>
      <w:bookmarkEnd w:id="38"/>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proofErr w:type="spellStart"/>
      <w:r>
        <w:rPr>
          <w:b/>
          <w:bCs/>
          <w:u w:val="single"/>
        </w:rPr>
        <w:lastRenderedPageBreak/>
        <w:t>InH</w:t>
      </w:r>
      <w:proofErr w:type="spellEnd"/>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0" w:name="_Ref80046893"/>
      <w:r>
        <w:t xml:space="preserve">Table </w:t>
      </w:r>
      <w:r w:rsidR="0030304B">
        <w:fldChar w:fldCharType="begin"/>
      </w:r>
      <w:r w:rsidR="0030304B">
        <w:instrText xml:space="preserve"> SEQ Table \* ARABIC </w:instrText>
      </w:r>
      <w:r w:rsidR="0030304B">
        <w:fldChar w:fldCharType="separate"/>
      </w:r>
      <w:r w:rsidR="00FC3309">
        <w:rPr>
          <w:noProof/>
        </w:rPr>
        <w:t>53</w:t>
      </w:r>
      <w:r w:rsidR="0030304B">
        <w:rPr>
          <w:noProof/>
        </w:rPr>
        <w:fldChar w:fldCharType="end"/>
      </w:r>
      <w:bookmarkEnd w:id="40"/>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1" w:name="_Hlk80025717"/>
            <w:proofErr w:type="spellStart"/>
            <w:r w:rsidRPr="00B673EB">
              <w:rPr>
                <w:sz w:val="16"/>
                <w:szCs w:val="16"/>
              </w:rPr>
              <w:t>AlwaysOn</w:t>
            </w:r>
            <w:bookmarkEnd w:id="41"/>
            <w:proofErr w:type="spellEnd"/>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865" w:type="dxa"/>
            <w:vAlign w:val="center"/>
          </w:tcPr>
          <w:p w14:paraId="17C267DC" w14:textId="0E2AD6A3"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t>100MHz bandwidth, DDDSU TDD format</w:t>
      </w:r>
    </w:p>
    <w:p w14:paraId="5949D9EA" w14:textId="06E79FDB" w:rsidR="00ED7A23" w:rsidRDefault="00017448" w:rsidP="00017448">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54</w:t>
      </w:r>
      <w:r w:rsidR="0030304B">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1C47F5D8"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lastRenderedPageBreak/>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55</w:t>
      </w:r>
      <w:r w:rsidR="0030304B">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24A13FAD" w14:textId="279AD9C3"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56</w:t>
      </w:r>
      <w:r w:rsidR="0030304B">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57</w:t>
      </w:r>
      <w:r w:rsidR="0030304B">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lastRenderedPageBreak/>
              <w:t>MTK</w:t>
            </w:r>
          </w:p>
        </w:tc>
        <w:tc>
          <w:tcPr>
            <w:tcW w:w="0" w:type="auto"/>
            <w:vAlign w:val="center"/>
          </w:tcPr>
          <w:p w14:paraId="56CF8A6D" w14:textId="530BD6AA"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58</w:t>
      </w:r>
      <w:r w:rsidR="0030304B">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6" w:name="_Ref80046907"/>
      <w:r>
        <w:t xml:space="preserve">Table </w:t>
      </w:r>
      <w:r w:rsidR="0030304B">
        <w:fldChar w:fldCharType="begin"/>
      </w:r>
      <w:r w:rsidR="0030304B">
        <w:instrText xml:space="preserve"> SEQ Table \* ARABIC </w:instrText>
      </w:r>
      <w:r w:rsidR="0030304B">
        <w:fldChar w:fldCharType="separate"/>
      </w:r>
      <w:r w:rsidR="00FC3309">
        <w:rPr>
          <w:noProof/>
        </w:rPr>
        <w:t>59</w:t>
      </w:r>
      <w:r w:rsidR="0030304B">
        <w:rPr>
          <w:noProof/>
        </w:rPr>
        <w:fldChar w:fldCharType="end"/>
      </w:r>
      <w:bookmarkEnd w:id="46"/>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7" w:name="_Ref80048174"/>
      <w:r>
        <w:t xml:space="preserve">Table </w:t>
      </w:r>
      <w:r w:rsidR="0030304B">
        <w:fldChar w:fldCharType="begin"/>
      </w:r>
      <w:r w:rsidR="0030304B">
        <w:instrText xml:space="preserve"> SEQ Table \* ARABIC </w:instrText>
      </w:r>
      <w:r w:rsidR="0030304B">
        <w:fldChar w:fldCharType="separate"/>
      </w:r>
      <w:r w:rsidR="00FC3309">
        <w:rPr>
          <w:noProof/>
        </w:rPr>
        <w:t>60</w:t>
      </w:r>
      <w:r w:rsidR="0030304B">
        <w:rPr>
          <w:noProof/>
        </w:rPr>
        <w:fldChar w:fldCharType="end"/>
      </w:r>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61</w:t>
      </w:r>
      <w:r w:rsidR="0030304B">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62</w:t>
      </w:r>
      <w:r w:rsidR="0030304B">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t>100MHz bandwidth, DDDSU TDD format</w:t>
      </w:r>
    </w:p>
    <w:p w14:paraId="0713BB9F" w14:textId="6C4E6903" w:rsidR="0052028C" w:rsidRDefault="00E450C5" w:rsidP="00E450C5">
      <w:pPr>
        <w:spacing w:before="120" w:after="120" w:line="276" w:lineRule="auto"/>
        <w:jc w:val="center"/>
      </w:pPr>
      <w:bookmarkStart w:id="48" w:name="_Ref80048192"/>
      <w:r>
        <w:t xml:space="preserve">Table </w:t>
      </w:r>
      <w:r w:rsidR="0030304B">
        <w:fldChar w:fldCharType="begin"/>
      </w:r>
      <w:r w:rsidR="0030304B">
        <w:instrText xml:space="preserve"> SEQ Table \* ARABIC </w:instrText>
      </w:r>
      <w:r w:rsidR="0030304B">
        <w:fldChar w:fldCharType="separate"/>
      </w:r>
      <w:r w:rsidR="00FC3309">
        <w:rPr>
          <w:noProof/>
        </w:rPr>
        <w:t>63</w:t>
      </w:r>
      <w:r w:rsidR="0030304B">
        <w:rPr>
          <w:noProof/>
        </w:rPr>
        <w:fldChar w:fldCharType="end"/>
      </w:r>
      <w:bookmarkEnd w:id="48"/>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14:paraId="1AF6835C"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4C25CE3E" w14:textId="58251B5F" w:rsidR="00BD2EEA" w:rsidRDefault="00AB76CE" w:rsidP="00AB76CE">
      <w:pPr>
        <w:spacing w:before="120" w:after="120" w:line="276" w:lineRule="auto"/>
        <w:jc w:val="center"/>
      </w:pPr>
      <w:bookmarkStart w:id="50" w:name="_Ref80046934"/>
      <w:r>
        <w:t xml:space="preserve">Table </w:t>
      </w:r>
      <w:r w:rsidR="0030304B">
        <w:fldChar w:fldCharType="begin"/>
      </w:r>
      <w:r w:rsidR="0030304B">
        <w:instrText xml:space="preserve"> SEQ Table \* ARABIC </w:instrText>
      </w:r>
      <w:r w:rsidR="0030304B">
        <w:fldChar w:fldCharType="separate"/>
      </w:r>
      <w:r w:rsidR="00FC3309">
        <w:rPr>
          <w:noProof/>
        </w:rPr>
        <w:t>64</w:t>
      </w:r>
      <w:r w:rsidR="0030304B">
        <w:rPr>
          <w:noProof/>
        </w:rPr>
        <w:fldChar w:fldCharType="end"/>
      </w:r>
      <w:bookmarkEnd w:id="50"/>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r w:rsidR="0030304B">
        <w:fldChar w:fldCharType="begin"/>
      </w:r>
      <w:r w:rsidR="0030304B">
        <w:instrText xml:space="preserve"> SEQ Table \* ARABIC </w:instrText>
      </w:r>
      <w:r w:rsidR="0030304B">
        <w:fldChar w:fldCharType="separate"/>
      </w:r>
      <w:r w:rsidR="00FC3309">
        <w:rPr>
          <w:noProof/>
        </w:rPr>
        <w:t>65</w:t>
      </w:r>
      <w:r w:rsidR="0030304B">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1" w:name="_Ref80046939"/>
      <w:r>
        <w:t xml:space="preserve">Table </w:t>
      </w:r>
      <w:r w:rsidR="0030304B">
        <w:fldChar w:fldCharType="begin"/>
      </w:r>
      <w:r w:rsidR="0030304B">
        <w:instrText xml:space="preserve"> SEQ Table \* ARABIC </w:instrText>
      </w:r>
      <w:r w:rsidR="0030304B">
        <w:fldChar w:fldCharType="separate"/>
      </w:r>
      <w:r w:rsidR="00FC3309">
        <w:rPr>
          <w:noProof/>
        </w:rPr>
        <w:t>66</w:t>
      </w:r>
      <w:r w:rsidR="0030304B">
        <w:rPr>
          <w:noProof/>
        </w:rPr>
        <w:fldChar w:fldCharType="end"/>
      </w:r>
      <w:bookmarkEnd w:id="51"/>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3" w:name="_Ref80046953"/>
      <w:r>
        <w:t xml:space="preserve">Table </w:t>
      </w:r>
      <w:r w:rsidR="0030304B">
        <w:fldChar w:fldCharType="begin"/>
      </w:r>
      <w:r w:rsidR="0030304B">
        <w:instrText xml:space="preserve"> SEQ Table \* ARABIC </w:instrText>
      </w:r>
      <w:r w:rsidR="0030304B">
        <w:fldChar w:fldCharType="separate"/>
      </w:r>
      <w:r w:rsidR="00FC3309">
        <w:rPr>
          <w:noProof/>
        </w:rPr>
        <w:t>67</w:t>
      </w:r>
      <w:r w:rsidR="0030304B">
        <w:rPr>
          <w:noProof/>
        </w:rPr>
        <w:fldChar w:fldCharType="end"/>
      </w:r>
      <w:bookmarkEnd w:id="53"/>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4" w:name="_Ref80046959"/>
      <w:r>
        <w:t xml:space="preserve">Table </w:t>
      </w:r>
      <w:r w:rsidR="0030304B">
        <w:fldChar w:fldCharType="begin"/>
      </w:r>
      <w:r w:rsidR="0030304B">
        <w:instrText xml:space="preserve"> SEQ Table \* ARABIC </w:instrText>
      </w:r>
      <w:r w:rsidR="0030304B">
        <w:fldChar w:fldCharType="separate"/>
      </w:r>
      <w:r w:rsidR="00FC3309">
        <w:rPr>
          <w:noProof/>
        </w:rPr>
        <w:t>68</w:t>
      </w:r>
      <w:r w:rsidR="0030304B">
        <w:rPr>
          <w:noProof/>
        </w:rPr>
        <w:fldChar w:fldCharType="end"/>
      </w:r>
      <w:bookmarkEnd w:id="54"/>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5" w:name="_Ref80083579"/>
      <w:r>
        <w:t xml:space="preserve">Table </w:t>
      </w:r>
      <w:r w:rsidR="0030304B">
        <w:fldChar w:fldCharType="begin"/>
      </w:r>
      <w:r w:rsidR="0030304B">
        <w:instrText xml:space="preserve"> SEQ Table \* ARABIC </w:instrText>
      </w:r>
      <w:r w:rsidR="0030304B">
        <w:fldChar w:fldCharType="separate"/>
      </w:r>
      <w:r w:rsidR="00FC3309">
        <w:rPr>
          <w:noProof/>
        </w:rPr>
        <w:t>69</w:t>
      </w:r>
      <w:r w:rsidR="0030304B">
        <w:rPr>
          <w:noProof/>
        </w:rPr>
        <w:fldChar w:fldCharType="end"/>
      </w:r>
      <w:bookmarkEnd w:id="55"/>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6" w:name="_Ref80083586"/>
      <w:r>
        <w:t xml:space="preserve">Table </w:t>
      </w:r>
      <w:r w:rsidR="0030304B">
        <w:fldChar w:fldCharType="begin"/>
      </w:r>
      <w:r w:rsidR="0030304B">
        <w:instrText xml:space="preserve"> SEQ Table \* ARABIC </w:instrText>
      </w:r>
      <w:r w:rsidR="0030304B">
        <w:fldChar w:fldCharType="separate"/>
      </w:r>
      <w:r w:rsidR="00FC3309">
        <w:rPr>
          <w:noProof/>
        </w:rPr>
        <w:t>70</w:t>
      </w:r>
      <w:r w:rsidR="0030304B">
        <w:rPr>
          <w:noProof/>
        </w:rPr>
        <w:fldChar w:fldCharType="end"/>
      </w:r>
      <w:bookmarkEnd w:id="56"/>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7" w:name="_Ref80083599"/>
      <w:r>
        <w:t xml:space="preserve">Table </w:t>
      </w:r>
      <w:r w:rsidR="0030304B">
        <w:fldChar w:fldCharType="begin"/>
      </w:r>
      <w:r w:rsidR="0030304B">
        <w:instrText xml:space="preserve"> SEQ Table \* ARABIC </w:instrText>
      </w:r>
      <w:r w:rsidR="0030304B">
        <w:fldChar w:fldCharType="separate"/>
      </w:r>
      <w:r w:rsidR="00FC3309">
        <w:rPr>
          <w:noProof/>
        </w:rPr>
        <w:t>71</w:t>
      </w:r>
      <w:r w:rsidR="0030304B">
        <w:rPr>
          <w:noProof/>
        </w:rPr>
        <w:fldChar w:fldCharType="end"/>
      </w:r>
      <w:bookmarkEnd w:id="57"/>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8" w:name="_Ref80083607"/>
      <w:r>
        <w:t xml:space="preserve">Table </w:t>
      </w:r>
      <w:r w:rsidR="0030304B">
        <w:fldChar w:fldCharType="begin"/>
      </w:r>
      <w:r w:rsidR="0030304B">
        <w:instrText xml:space="preserve"> SEQ Table \* ARABIC </w:instrText>
      </w:r>
      <w:r w:rsidR="0030304B">
        <w:fldChar w:fldCharType="separate"/>
      </w:r>
      <w:r w:rsidR="00FC3309">
        <w:rPr>
          <w:noProof/>
        </w:rPr>
        <w:t>72</w:t>
      </w:r>
      <w:r w:rsidR="0030304B">
        <w:rPr>
          <w:noProof/>
        </w:rPr>
        <w:fldChar w:fldCharType="end"/>
      </w:r>
      <w:bookmarkEnd w:id="58"/>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SimSun"/>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350D42BA" w14:textId="3154F33B"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763DD05E" w14:textId="1012BA42"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17EF8491" w14:textId="71E58813"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3BD56EC3" w14:textId="3B7FC9F1"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lastRenderedPageBreak/>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24 dBm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44 dBm per 20 MHz</w:t>
            </w:r>
          </w:p>
          <w:p w14:paraId="334A0046"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38F94EBA"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7E7415E"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2D33ABA8"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324D2379"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4263E63B"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60"/>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1" w:name="OLE_LINK3"/>
            <w:bookmarkStart w:id="62" w:name="OLE_LINK5"/>
            <w:r w:rsidRPr="00DE6737">
              <w:rPr>
                <w:lang w:eastAsia="zh-CN"/>
              </w:rPr>
              <w:t xml:space="preserve">Ceiling-mount antenna radiation pattern, 5 </w:t>
            </w:r>
            <w:proofErr w:type="spellStart"/>
            <w:r w:rsidRPr="00DE6737">
              <w:rPr>
                <w:lang w:eastAsia="zh-CN"/>
              </w:rPr>
              <w:t>dBi</w:t>
            </w:r>
            <w:bookmarkEnd w:id="61"/>
            <w:bookmarkEnd w:id="62"/>
            <w:proofErr w:type="spellEnd"/>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3" w:name="OLE_LINK4"/>
            <w:bookmarkStart w:id="64" w:name="OLE_LINK6"/>
            <w:r w:rsidRPr="00DE6737">
              <w:rPr>
                <w:lang w:eastAsia="zh-CN"/>
              </w:rPr>
              <w:t xml:space="preserve">3-sector antenna radiation pattern, 8 </w:t>
            </w:r>
            <w:proofErr w:type="spellStart"/>
            <w:r w:rsidRPr="00DE6737">
              <w:rPr>
                <w:lang w:eastAsia="zh-CN"/>
              </w:rPr>
              <w:t>dBi</w:t>
            </w:r>
            <w:bookmarkEnd w:id="63"/>
            <w:bookmarkEnd w:id="64"/>
            <w:proofErr w:type="spellEnd"/>
          </w:p>
          <w:p w14:paraId="6063FF5B" w14:textId="77777777" w:rsidR="0019062A" w:rsidRPr="00272715" w:rsidRDefault="0019062A" w:rsidP="00553EBC">
            <w:pPr>
              <w:keepNext/>
              <w:spacing w:before="20" w:after="20" w:line="276" w:lineRule="auto"/>
              <w:rPr>
                <w:lang w:eastAsia="zh-CN"/>
              </w:rPr>
            </w:pPr>
            <w:r w:rsidRPr="00272715">
              <w:rPr>
                <w:lang w:eastAsia="zh-CN"/>
              </w:rPr>
              <w:lastRenderedPageBreak/>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SimSu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SimSun"/>
                <w:sz w:val="20"/>
                <w:szCs w:val="20"/>
              </w:rPr>
              <w:t>Realistic</w:t>
            </w:r>
          </w:p>
          <w:p w14:paraId="0FCC3A96"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7AE6E0AD" w14:textId="77777777" w:rsidR="0019062A" w:rsidRPr="002010C9" w:rsidRDefault="0019062A" w:rsidP="00553EBC">
            <w:pPr>
              <w:rPr>
                <w:rFonts w:eastAsia="SimSun"/>
              </w:rPr>
            </w:pPr>
            <w:r w:rsidRPr="002010C9">
              <w:rPr>
                <w:rFonts w:eastAsia="SimSun"/>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SimSun"/>
                <w:sz w:val="20"/>
                <w:szCs w:val="20"/>
              </w:rPr>
              <w:t> </w:t>
            </w:r>
          </w:p>
          <w:p w14:paraId="4C5C3962" w14:textId="77777777" w:rsidR="0019062A" w:rsidRPr="002010C9" w:rsidRDefault="0019062A" w:rsidP="00553EBC">
            <w:pPr>
              <w:rPr>
                <w:rFonts w:eastAsia="SimSun"/>
              </w:rPr>
            </w:pPr>
            <w:r w:rsidRPr="002010C9">
              <w:rPr>
                <w:rFonts w:eastAsia="SimSun"/>
              </w:rPr>
              <w:t xml:space="preserve">Companies should report gNB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SimSun"/>
              </w:rPr>
            </w:pPr>
            <w:r w:rsidRPr="002010C9">
              <w:rPr>
                <w:rFonts w:eastAsia="SimSun"/>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SimSun"/>
              </w:rPr>
            </w:pPr>
            <w:r w:rsidRPr="002010C9">
              <w:rPr>
                <w:rFonts w:eastAsia="SimSun"/>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SimSun"/>
              </w:rPr>
            </w:pPr>
            <w:r w:rsidRPr="002010C9">
              <w:rPr>
                <w:rFonts w:eastAsia="SimSun"/>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SimSun"/>
              </w:rPr>
            </w:pPr>
            <w:r w:rsidRPr="002010C9">
              <w:rPr>
                <w:rFonts w:eastAsia="SimSun"/>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592F3894"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7BC78F87"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602FF4C4"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10240747"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lastRenderedPageBreak/>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lastRenderedPageBreak/>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gNB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lastRenderedPageBreak/>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1B24" w14:textId="77777777" w:rsidR="0030304B" w:rsidRDefault="0030304B">
      <w:r>
        <w:separator/>
      </w:r>
    </w:p>
  </w:endnote>
  <w:endnote w:type="continuationSeparator" w:id="0">
    <w:p w14:paraId="19FF5530" w14:textId="77777777" w:rsidR="0030304B" w:rsidRDefault="0030304B">
      <w:r>
        <w:continuationSeparator/>
      </w:r>
    </w:p>
  </w:endnote>
  <w:endnote w:type="continuationNotice" w:id="1">
    <w:p w14:paraId="3AD5BB2E" w14:textId="77777777" w:rsidR="0030304B" w:rsidRDefault="0030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1622" w14:textId="77777777" w:rsidR="0030304B" w:rsidRDefault="0030304B">
      <w:r>
        <w:separator/>
      </w:r>
    </w:p>
  </w:footnote>
  <w:footnote w:type="continuationSeparator" w:id="0">
    <w:p w14:paraId="66179FFE" w14:textId="77777777" w:rsidR="0030304B" w:rsidRDefault="0030304B">
      <w:r>
        <w:continuationSeparator/>
      </w:r>
    </w:p>
  </w:footnote>
  <w:footnote w:type="continuationNotice" w:id="1">
    <w:p w14:paraId="49FDCC5F" w14:textId="77777777" w:rsidR="0030304B" w:rsidRDefault="00303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D2B6" w14:textId="77777777" w:rsidR="00602A90" w:rsidRDefault="00602A90"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7"/>
  </w:num>
  <w:num w:numId="2">
    <w:abstractNumId w:val="14"/>
  </w:num>
  <w:num w:numId="3">
    <w:abstractNumId w:val="25"/>
  </w:num>
  <w:num w:numId="4">
    <w:abstractNumId w:val="9"/>
  </w:num>
  <w:num w:numId="5">
    <w:abstractNumId w:val="23"/>
  </w:num>
  <w:num w:numId="6">
    <w:abstractNumId w:val="28"/>
  </w:num>
  <w:num w:numId="7">
    <w:abstractNumId w:val="13"/>
  </w:num>
  <w:num w:numId="8">
    <w:abstractNumId w:val="18"/>
  </w:num>
  <w:num w:numId="9">
    <w:abstractNumId w:val="0"/>
  </w:num>
  <w:num w:numId="10">
    <w:abstractNumId w:val="12"/>
  </w:num>
  <w:num w:numId="11">
    <w:abstractNumId w:val="26"/>
  </w:num>
  <w:num w:numId="12">
    <w:abstractNumId w:val="29"/>
  </w:num>
  <w:num w:numId="13">
    <w:abstractNumId w:val="11"/>
  </w:num>
  <w:num w:numId="14">
    <w:abstractNumId w:val="5"/>
  </w:num>
  <w:num w:numId="15">
    <w:abstractNumId w:val="4"/>
  </w:num>
  <w:num w:numId="16">
    <w:abstractNumId w:val="2"/>
  </w:num>
  <w:num w:numId="17">
    <w:abstractNumId w:val="19"/>
  </w:num>
  <w:num w:numId="18">
    <w:abstractNumId w:val="21"/>
  </w:num>
  <w:num w:numId="19">
    <w:abstractNumId w:val="17"/>
  </w:num>
  <w:num w:numId="20">
    <w:abstractNumId w:val="3"/>
  </w:num>
  <w:num w:numId="21">
    <w:abstractNumId w:val="24"/>
  </w:num>
  <w:num w:numId="22">
    <w:abstractNumId w:val="22"/>
  </w:num>
  <w:num w:numId="23">
    <w:abstractNumId w:val="1"/>
  </w:num>
  <w:num w:numId="24">
    <w:abstractNumId w:val="7"/>
  </w:num>
  <w:num w:numId="25">
    <w:abstractNumId w:val="10"/>
  </w:num>
  <w:num w:numId="26">
    <w:abstractNumId w:val="20"/>
  </w:num>
  <w:num w:numId="27">
    <w:abstractNumId w:val="6"/>
  </w:num>
  <w:num w:numId="28">
    <w:abstractNumId w:val="8"/>
  </w:num>
  <w:num w:numId="29">
    <w:abstractNumId w:val="15"/>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A9A"/>
    <w:rsid w:val="0067730C"/>
    <w:rsid w:val="006775AB"/>
    <w:rsid w:val="00677B0F"/>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447E1-235F-4040-AE47-B9BD80F7BA29}">
  <ds:schemaRefs>
    <ds:schemaRef ds:uri="http://schemas.openxmlformats.org/officeDocument/2006/bibliography"/>
  </ds:schemaRefs>
</ds:datastoreItem>
</file>

<file path=customXml/itemProps3.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27C37-7382-483A-8C05-D597B417B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13790</Words>
  <Characters>78607</Characters>
  <Application>Microsoft Office Word</Application>
  <DocSecurity>0</DocSecurity>
  <Lines>655</Lines>
  <Paragraphs>184</Paragraphs>
  <ScaleCrop>false</ScaleCrop>
  <Company>Vivo</Company>
  <LinksUpToDate>false</LinksUpToDate>
  <CharactersWithSpaces>92213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Fang-Chen Cheng</cp:lastModifiedBy>
  <cp:revision>2</cp:revision>
  <cp:lastPrinted>2011-08-03T09:36:00Z</cp:lastPrinted>
  <dcterms:created xsi:type="dcterms:W3CDTF">2021-08-18T20:32:00Z</dcterms:created>
  <dcterms:modified xsi:type="dcterms:W3CDTF">2021-08-18T20:32:00Z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