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MS Mincho" w:cs="Arial"/>
          <w:b/>
          <w:bCs/>
          <w:sz w:val="24"/>
          <w:szCs w:val="24"/>
          <w:lang w:eastAsia="ja-JP"/>
        </w:rPr>
      </w:pPr>
      <w:r>
        <w:rPr>
          <w:rFonts w:ascii="Arial" w:hAnsi="Arial" w:eastAsia="MS Mincho" w:cs="Arial"/>
          <w:b/>
          <w:bCs/>
          <w:sz w:val="24"/>
          <w:szCs w:val="24"/>
          <w:lang w:eastAsia="ja-JP"/>
        </w:rPr>
        <w:t>eMeeting, Aug 16 – 27,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[Post-106-e-Rel17-RRC-13]</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 for email thread [Post-106-e-Rel17-RRC-13] under agenda item 8.13.1 on Cross-carrier scheduling (from SCell to PCell) for the Rel17 WI on NR Dynamic spectrum sharing (DSS).</w:t>
      </w:r>
    </w:p>
    <w:p>
      <w:pPr>
        <w:rPr>
          <w:lang w:val="en-US" w:eastAsia="zh-CN"/>
        </w:rPr>
      </w:pPr>
      <w:r>
        <w:rPr>
          <w:lang w:val="en-US" w:eastAsia="zh-CN"/>
        </w:rPr>
        <w:t xml:space="preserve">Objective of discussion is to prepare a draft list of RRC parameters based on agreements so far. The draft list would be used for further discussion on RRC parameters in subsequent RAN1 meetings. </w:t>
      </w:r>
    </w:p>
    <w:p>
      <w:pPr>
        <w:rPr>
          <w:lang w:val="en-US" w:eastAsia="zh-CN"/>
        </w:rPr>
      </w:pPr>
      <w:r>
        <w:rPr>
          <w:lang w:val="en-US" w:eastAsia="zh-CN"/>
        </w:rPr>
        <w:t>Related guidance from RAN1 chairman is given below</w:t>
      </w:r>
    </w:p>
    <w:p>
      <w:pPr>
        <w:rPr>
          <w:lang w:val="en-US" w:eastAsia="zh-CN"/>
        </w:rPr>
      </w:pPr>
      <w:r>
        <w:rPr>
          <w:lang w:val="en-US" w:eastAsia="zh-CN"/>
        </w:rPr>
        <mc:AlternateContent>
          <mc:Choice Requires="wps">
            <w:drawing>
              <wp:inline distT="0" distB="0" distL="0" distR="0">
                <wp:extent cx="6362700" cy="1404620"/>
                <wp:effectExtent l="0" t="0" r="19050" b="22225"/>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ln>
                      </wps:spPr>
                      <wps:txbx>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wps:txbx>
                      <wps:bodyPr rot="0" vert="horz" wrap="square" lIns="91440" tIns="45720" rIns="91440" bIns="45720" anchor="t" anchorCtr="0">
                        <a:spAutoFit/>
                      </wps:bodyPr>
                    </wps:wsp>
                  </a:graphicData>
                </a:graphic>
              </wp:inline>
            </w:drawing>
          </mc:Choice>
          <mc:Fallback>
            <w:pict>
              <v:shape id="Text Box 2" o:spid="_x0000_s1026" o:spt="202" type="#_x0000_t202" style="height:110.6pt;width:501pt;" fillcolor="#FFFFFF" filled="t" stroked="t" coordsize="21600,21600" o:gfxdata="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&#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rul6X1AAAAAYBAAAPAAAAAAAAAAEAIAAAADgAAABk&#10;cnMvZG93bnJldi54bWxQSwECFAAUAAAACACHTuJA7D5X4y0CAAB9BAAADgAAAAAAAAABACAAAAA5&#10;AQAAZHJzL2Uyb0RvYy54bWxQSwUGAAAAAAYABgBZAQAA2AUAAAAA&#10;">
                <v:fill on="t" focussize="0,0"/>
                <v:stroke color="#000000" miterlimit="8" joinstyle="miter"/>
                <v:imagedata o:title=""/>
                <o:lock v:ext="edit" aspectratio="f"/>
                <v:textbox style="mso-fit-shape-to-text:t;">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v:textbox>
                <w10:wrap type="none"/>
                <w10:anchorlock/>
              </v:shape>
            </w:pict>
          </mc:Fallback>
        </mc:AlternateContent>
      </w:r>
    </w:p>
    <w:p>
      <w:pPr>
        <w:pStyle w:val="2"/>
        <w:jc w:val="both"/>
        <w:rPr>
          <w:rFonts w:cs="Arial"/>
          <w:lang w:val="en-US"/>
        </w:rPr>
      </w:pPr>
      <w:r>
        <w:rPr>
          <w:rFonts w:cs="Arial"/>
          <w:lang w:val="en-US"/>
        </w:rPr>
        <w:t>2. Discussion</w:t>
      </w:r>
    </w:p>
    <w:p>
      <w:pPr>
        <w:pStyle w:val="4"/>
        <w:rPr>
          <w:lang w:val="en-US" w:eastAsia="zh-CN"/>
        </w:rPr>
      </w:pPr>
      <w:r>
        <w:rPr>
          <w:lang w:val="en-US" w:eastAsia="zh-CN"/>
        </w:rPr>
        <w:t>Comments for v00</w:t>
      </w:r>
    </w:p>
    <w:p>
      <w:pPr>
        <w:overflowPunct/>
        <w:autoSpaceDE/>
        <w:autoSpaceDN/>
        <w:adjustRightInd/>
        <w:spacing w:after="160" w:line="259" w:lineRule="auto"/>
        <w:rPr>
          <w:rFonts w:eastAsiaTheme="minorHAnsi"/>
        </w:rPr>
      </w:pPr>
      <w:r>
        <w:rPr>
          <w:rFonts w:eastAsiaTheme="minorHAnsi"/>
        </w:rPr>
        <w:t xml:space="preserve">v00 of RRC parameter spreadsheet is in drafts folder for A.I. 8.13.1. </w:t>
      </w:r>
    </w:p>
    <w:p>
      <w:pPr>
        <w:rPr>
          <w:lang w:val="en-US" w:eastAsia="zh-CN"/>
        </w:rPr>
      </w:pPr>
      <w:r>
        <w:rPr>
          <w:lang w:val="en-US" w:eastAsia="zh-CN"/>
        </w:rPr>
        <w:t xml:space="preserve">Companies are requested to provide comments for this version in below Table preferably by </w:t>
      </w:r>
      <w:r>
        <w:rPr>
          <w:highlight w:val="yellow"/>
          <w:lang w:val="en-US" w:eastAsia="zh-CN"/>
        </w:rPr>
        <w:t>Sep 06 5PM UTC</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(for v00)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Please check the spreadsheet and provide comments on any potential modifications to v00. Moderator will provide updated version(s) of the spreadsheet based on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hint="default" w:eastAsia="MS Mincho"/>
                <w:lang w:eastAsia="ja-JP"/>
              </w:rPr>
            </w:pPr>
            <w:r>
              <w:rPr>
                <w:rFonts w:hint="default" w:eastAsia="MS Mincho"/>
                <w:lang w:eastAsia="ja-JP"/>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hint="default" w:eastAsia="MS Mincho"/>
                <w:lang w:eastAsia="ja-JP"/>
              </w:rPr>
            </w:pPr>
            <w:r>
              <w:rPr>
                <w:rFonts w:hint="default" w:eastAsia="MS Mincho"/>
                <w:lang w:eastAsia="ja-JP"/>
              </w:rPr>
              <w:t>First, we agree there is something in 38.331 that has to be updated, e.g., the text saying “</w:t>
            </w:r>
            <w:r>
              <w:rPr>
                <w:lang w:eastAsia="en-GB"/>
              </w:rPr>
              <w:t xml:space="preserve">The network configures this field </w:t>
            </w:r>
            <w:r>
              <w:rPr>
                <w:rFonts w:hint="default"/>
                <w:lang w:eastAsia="en-GB"/>
              </w:rPr>
              <w:t xml:space="preserve">[i.e., field of “other”] </w:t>
            </w:r>
            <w:r>
              <w:rPr>
                <w:lang w:eastAsia="en-GB"/>
              </w:rPr>
              <w:t>only for SCells</w:t>
            </w:r>
            <w:r>
              <w:rPr>
                <w:rFonts w:hint="default" w:eastAsia="MS Mincho"/>
                <w:lang w:eastAsia="ja-JP"/>
              </w:rPr>
              <w:t xml:space="preserve">” should be removed or modified. </w:t>
            </w:r>
          </w:p>
          <w:p>
            <w:pPr>
              <w:spacing w:line="240" w:lineRule="auto"/>
              <w:rPr>
                <w:rFonts w:hint="default" w:eastAsia="MS Mincho"/>
                <w:lang w:eastAsia="ja-JP"/>
              </w:rPr>
            </w:pPr>
            <w:r>
              <w:rPr>
                <w:rFonts w:hint="default" w:eastAsia="MS Mincho"/>
                <w:lang w:eastAsia="ja-JP"/>
              </w:rPr>
              <w:t xml:space="preserve">On the other hand, we do not see a real necessity to change the ASN code for CrossCarrierSchedulingConfig IE, because: </w:t>
            </w:r>
          </w:p>
          <w:p>
            <w:pPr>
              <w:numPr>
                <w:ilvl w:val="0"/>
                <w:numId w:val="4"/>
              </w:numPr>
              <w:spacing w:line="240" w:lineRule="auto"/>
              <w:rPr>
                <w:rFonts w:hint="default" w:eastAsia="MS Mincho"/>
                <w:lang w:eastAsia="ja-JP"/>
              </w:rPr>
            </w:pPr>
            <w:r>
              <w:rPr>
                <w:rFonts w:hint="default" w:eastAsia="MS Mincho"/>
                <w:lang w:eastAsia="ja-JP"/>
              </w:rPr>
              <w:t xml:space="preserve">CrossCarrierSchedulingConfig is configured per cell, while CCS from sSCell to PCell only applies to one specific cell. It seems a over-tune to change ASN code that may apply to all cells under cross-carrier scheduling. </w:t>
            </w:r>
          </w:p>
          <w:p>
            <w:pPr>
              <w:numPr>
                <w:ilvl w:val="0"/>
                <w:numId w:val="4"/>
              </w:numPr>
              <w:spacing w:line="240" w:lineRule="auto"/>
              <w:rPr>
                <w:rFonts w:hint="default" w:eastAsia="MS Mincho"/>
                <w:lang w:eastAsia="ja-JP"/>
              </w:rPr>
            </w:pPr>
            <w:r>
              <w:rPr>
                <w:rFonts w:hint="default" w:eastAsia="MS Mincho"/>
                <w:lang w:eastAsia="ja-JP"/>
              </w:rPr>
              <w:t xml:space="preserve">The motivation to change the RRC configuration for CCS from sSCell to PCell is that PCell will have two scheduling cells. However, PCell always has itself as one scheduling cell (at least for CSS), no matter what </w:t>
            </w:r>
            <w:r>
              <w:rPr>
                <w:rFonts w:hint="default" w:eastAsia="MS Mincho"/>
                <w:lang w:eastAsia="ja-JP"/>
              </w:rPr>
              <w:t>CrossCarrierSchedulingConfig</w:t>
            </w:r>
            <w:r>
              <w:rPr>
                <w:rFonts w:hint="default" w:eastAsia="MS Mincho"/>
                <w:lang w:eastAsia="ja-JP"/>
              </w:rPr>
              <w:t xml:space="preserve"> says. So this is something that can live outside of RRC configuration. </w:t>
            </w:r>
          </w:p>
          <w:p>
            <w:pPr>
              <w:numPr>
                <w:numId w:val="0"/>
              </w:numPr>
              <w:spacing w:line="240" w:lineRule="auto"/>
              <w:rPr>
                <w:rFonts w:hint="default" w:eastAsia="MS Mincho"/>
                <w:lang w:eastAsia="ja-JP"/>
              </w:rPr>
            </w:pPr>
            <w:r>
              <w:rPr>
                <w:rFonts w:hint="default" w:eastAsia="MS Mincho"/>
                <w:lang w:eastAsia="ja-JP"/>
              </w:rPr>
              <w:t xml:space="preserve">So our preference is to keep the ASN definition for </w:t>
            </w:r>
            <w:r>
              <w:rPr>
                <w:rFonts w:hint="default" w:eastAsia="MS Mincho"/>
                <w:lang w:eastAsia="ja-JP"/>
              </w:rPr>
              <w:t>CrossCarrierSchedulingConfig</w:t>
            </w:r>
            <w:r>
              <w:rPr>
                <w:rFonts w:hint="default" w:eastAsia="MS Mincho"/>
                <w:lang w:eastAsia="ja-JP"/>
              </w:rPr>
              <w:t xml:space="preserve"> as is, and to use plain text in RAN1/RAN2 spec to describe that PCell can have another scheduling cell --- itself, besides what </w:t>
            </w:r>
            <w:r>
              <w:rPr>
                <w:rFonts w:hint="default" w:eastAsia="MS Mincho"/>
                <w:lang w:eastAsia="ja-JP"/>
              </w:rPr>
              <w:t>CrossCarrierSchedulingConfig</w:t>
            </w:r>
            <w:r>
              <w:rPr>
                <w:rFonts w:hint="default" w:eastAsia="MS Mincho"/>
                <w:lang w:eastAsia="ja-JP"/>
              </w:rPr>
              <w:t xml:space="preserve"> says</w:t>
            </w:r>
            <w:bookmarkStart w:id="8" w:name="_GoBack"/>
            <w:bookmarkEnd w:id="8"/>
            <w:r>
              <w:rPr>
                <w:rFonts w:hint="default" w:eastAsia="MS Mincho"/>
                <w:lang w:eastAsia="ja-JP"/>
              </w:rPr>
              <w:t xml:space="preserve">.     </w:t>
            </w:r>
          </w:p>
        </w:tc>
      </w:tr>
    </w:tbl>
    <w:p>
      <w:pPr>
        <w:pStyle w:val="9"/>
        <w:rPr>
          <w:lang w:val="en-GB"/>
        </w:rPr>
      </w:pPr>
    </w:p>
    <w:p>
      <w:pPr>
        <w:pStyle w:val="9"/>
        <w:rPr>
          <w:rFonts w:ascii="Arial" w:hAnsi="Arial" w:cs="Arial"/>
          <w:b/>
          <w:bCs/>
          <w:color w:val="BFBFBF" w:themeColor="background1" w:themeShade="BF"/>
          <w:u w:val="single"/>
        </w:rPr>
      </w:pPr>
      <w:r>
        <w:rPr>
          <w:rFonts w:ascii="Arial" w:hAnsi="Arial" w:cs="Arial"/>
          <w:b/>
          <w:bCs/>
          <w:color w:val="BFBFBF" w:themeColor="background1" w:themeShade="BF"/>
          <w:u w:val="single"/>
        </w:rPr>
        <w:t>Comments for v01</w:t>
      </w:r>
    </w:p>
    <w:p>
      <w:pPr>
        <w:rPr>
          <w:lang w:val="en-US" w:eastAsia="zh-CN"/>
        </w:rPr>
      </w:pPr>
      <w:r>
        <w:rPr>
          <w:highlight w:val="yellow"/>
          <w:lang w:val="en-US" w:eastAsia="zh-CN"/>
        </w:rPr>
        <w:t>TBU</w:t>
      </w:r>
    </w:p>
    <w:p>
      <w:pPr>
        <w:pStyle w:val="2"/>
        <w:pBdr>
          <w:top w:val="single" w:color="auto" w:sz="12" w:space="4"/>
        </w:pBdr>
        <w:ind w:left="0" w:firstLine="0"/>
        <w:jc w:val="both"/>
        <w:rPr>
          <w:rFonts w:cs="Arial"/>
          <w:lang w:val="en-US"/>
        </w:rPr>
      </w:pPr>
      <w:r>
        <w:rPr>
          <w:rFonts w:cs="Arial"/>
          <w:lang w:val="en-US"/>
        </w:rPr>
        <w:t>3 Conclusions</w:t>
      </w:r>
    </w:p>
    <w:p>
      <w:pPr>
        <w:rPr>
          <w:lang w:val="en-US"/>
        </w:rPr>
      </w:pPr>
      <w:r>
        <w:rPr>
          <w:highlight w:val="yellow"/>
          <w:lang w:val="en-US"/>
        </w:rPr>
        <w:t>TBU</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5"/>
        </w:numPr>
        <w:rPr>
          <w:lang w:eastAsia="zh-CN"/>
        </w:rPr>
      </w:pPr>
      <w:r>
        <w:rPr>
          <w:lang w:eastAsia="zh-CN"/>
        </w:rPr>
        <w:t>RP-211345</w:t>
      </w:r>
      <w:r>
        <w:rPr>
          <w:lang w:eastAsia="zh-CN"/>
        </w:rPr>
        <w:tab/>
      </w:r>
      <w:r>
        <w:rPr>
          <w:lang w:eastAsia="zh-CN"/>
        </w:rPr>
        <w:tab/>
      </w:r>
      <w:r>
        <w:rPr>
          <w:lang w:eastAsia="zh-CN"/>
        </w:rPr>
        <w:t>Revised WID on NR Dynamic spectrum sharing (DSS), Ericsson, RAN#92e, June 2021, eMeeting.</w:t>
      </w:r>
    </w:p>
    <w:p>
      <w:pPr>
        <w:pStyle w:val="33"/>
        <w:numPr>
          <w:ilvl w:val="0"/>
          <w:numId w:val="5"/>
        </w:numPr>
      </w:pPr>
      <w:r>
        <w:br w:type="page"/>
      </w:r>
    </w:p>
    <w:p>
      <w:pPr>
        <w:pStyle w:val="2"/>
        <w:pBdr>
          <w:top w:val="single" w:color="auto" w:sz="12" w:space="4"/>
        </w:pBdr>
        <w:ind w:left="0" w:firstLine="0"/>
        <w:jc w:val="both"/>
        <w:rPr>
          <w:rFonts w:cs="Arial"/>
          <w:lang w:val="en-US"/>
        </w:rPr>
      </w:pPr>
      <w:r>
        <w:rPr>
          <w:rFonts w:cs="Arial"/>
          <w:lang w:val="en-US"/>
        </w:rPr>
        <w:t>5 Annex A – Agreements from the RAN1 meetings</w:t>
      </w:r>
    </w:p>
    <w:p>
      <w:pPr>
        <w:pStyle w:val="3"/>
      </w:pPr>
      <w:r>
        <w:t>Agreements from RAN1#102-e</w:t>
      </w:r>
    </w:p>
    <w:p>
      <w:pPr>
        <w:ind w:left="360"/>
        <w:rPr>
          <w:highlight w:val="green"/>
        </w:rPr>
      </w:pPr>
      <w:r>
        <w:rPr>
          <w:highlight w:val="green"/>
        </w:rPr>
        <w:t>Agreements:</w:t>
      </w:r>
    </w:p>
    <w:p>
      <w:pPr>
        <w:numPr>
          <w:ilvl w:val="0"/>
          <w:numId w:val="6"/>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6"/>
        </w:numPr>
        <w:overflowPunct/>
        <w:autoSpaceDE/>
        <w:autoSpaceDN/>
        <w:adjustRightInd/>
        <w:spacing w:after="0" w:line="240" w:lineRule="auto"/>
        <w:rPr>
          <w:lang w:eastAsia="zh-CN"/>
        </w:rPr>
      </w:pPr>
      <w:r>
        <w:rPr>
          <w:lang w:eastAsia="zh-CN"/>
        </w:rPr>
        <w:t>self-scheduling on PCell/PSCell is allowed</w:t>
      </w:r>
    </w:p>
    <w:p>
      <w:pPr>
        <w:numPr>
          <w:ilvl w:val="1"/>
          <w:numId w:val="6"/>
        </w:numPr>
        <w:overflowPunct/>
        <w:autoSpaceDE/>
        <w:autoSpaceDN/>
        <w:adjustRightInd/>
        <w:spacing w:after="0" w:line="240" w:lineRule="auto"/>
        <w:rPr>
          <w:lang w:eastAsia="zh-CN"/>
        </w:rPr>
      </w:pPr>
      <w:r>
        <w:rPr>
          <w:lang w:eastAsia="zh-CN"/>
        </w:rPr>
        <w:t>cross-carrier scheduling from PCell/PSCell to another SCell is not allowed</w:t>
      </w:r>
    </w:p>
    <w:p>
      <w:pPr>
        <w:numPr>
          <w:ilvl w:val="1"/>
          <w:numId w:val="6"/>
        </w:numPr>
        <w:overflowPunct/>
        <w:autoSpaceDE/>
        <w:autoSpaceDN/>
        <w:adjustRightInd/>
        <w:spacing w:after="0" w:line="240" w:lineRule="auto"/>
        <w:rPr>
          <w:lang w:eastAsia="zh-CN"/>
        </w:rPr>
      </w:pPr>
      <w:r>
        <w:rPr>
          <w:lang w:eastAsia="zh-CN"/>
        </w:rPr>
        <w:t>self-scheduling on the ‘SCell used for scheduling PCell/PSCell’ is allowed</w:t>
      </w:r>
    </w:p>
    <w:p>
      <w:pPr>
        <w:numPr>
          <w:ilvl w:val="1"/>
          <w:numId w:val="6"/>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pPr>
        <w:numPr>
          <w:ilvl w:val="1"/>
          <w:numId w:val="6"/>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pPr>
        <w:numPr>
          <w:ilvl w:val="0"/>
          <w:numId w:val="6"/>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6"/>
        </w:numPr>
        <w:overflowPunct/>
        <w:autoSpaceDE/>
        <w:autoSpaceDN/>
        <w:adjustRightInd/>
        <w:spacing w:after="0" w:line="240" w:lineRule="auto"/>
        <w:ind w:left="1080"/>
        <w:rPr>
          <w:lang w:eastAsia="zh-CN"/>
        </w:rPr>
      </w:pPr>
      <w:r>
        <w:rPr>
          <w:lang w:eastAsia="zh-CN"/>
        </w:rPr>
        <w:t>Configuring 2 or more Scells to schedule the PCell/PSCell is not allowed</w:t>
      </w:r>
    </w:p>
    <w:p>
      <w:pPr>
        <w:overflowPunct/>
        <w:autoSpaceDE/>
        <w:autoSpaceDN/>
        <w:adjustRightInd/>
        <w:spacing w:after="160" w:line="259" w:lineRule="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7"/>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7"/>
        </w:numPr>
        <w:adjustRightInd/>
        <w:ind w:left="1800"/>
        <w:textAlignment w:val="auto"/>
        <w:rPr>
          <w:lang w:eastAsia="zh-CN"/>
        </w:rPr>
      </w:pPr>
      <w:r>
        <w:rPr>
          <w:rFonts w:hint="eastAsia"/>
          <w:lang w:eastAsia="zh-CN"/>
        </w:rPr>
        <w:t>FFS: DCI format 2_5 and DCI Format 2_6 handling</w:t>
      </w:r>
    </w:p>
    <w:p>
      <w:pPr>
        <w:numPr>
          <w:ilvl w:val="0"/>
          <w:numId w:val="7"/>
        </w:numPr>
        <w:overflowPunct/>
        <w:autoSpaceDE/>
        <w:adjustRightInd/>
        <w:spacing w:after="0" w:line="240" w:lineRule="auto"/>
        <w:ind w:left="1080"/>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8"/>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7"/>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7"/>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9"/>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9"/>
        </w:numPr>
        <w:adjustRightInd/>
        <w:spacing w:after="0"/>
        <w:ind w:left="1080"/>
        <w:rPr>
          <w:strike/>
          <w:lang w:eastAsia="zh-CN"/>
        </w:rPr>
      </w:pPr>
      <w:r>
        <w:rPr>
          <w:strike/>
          <w:color w:val="7030A0"/>
          <w:lang w:eastAsia="zh-CN"/>
        </w:rPr>
        <w:t>Below alternatives can be considered in the discussion (other alternatives are not precluded)</w:t>
      </w:r>
    </w:p>
    <w:p>
      <w:pPr>
        <w:numPr>
          <w:ilvl w:val="1"/>
          <w:numId w:val="9"/>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2" w:name="_Hlk72981840"/>
      <w:r>
        <w:rPr>
          <w:lang w:eastAsia="zh-CN"/>
        </w:rPr>
        <w:t xml:space="preserve">UE cannot be configured to monitor </w:t>
      </w:r>
      <w:bookmarkStart w:id="3" w:name="_Hlk72859933"/>
      <w:r>
        <w:rPr>
          <w:lang w:eastAsia="zh-CN"/>
        </w:rPr>
        <w:t xml:space="preserve">DCI formats 0_1,1_1,0_2,1_2 </w:t>
      </w:r>
      <w:bookmarkEnd w:id="3"/>
      <w:r>
        <w:rPr>
          <w:lang w:eastAsia="zh-CN"/>
        </w:rPr>
        <w:t>on PCell/PSCell USS set(s), and can be configured to monitor them only on the sSCell USS set(s)</w:t>
      </w:r>
      <w:bookmarkEnd w:id="2"/>
    </w:p>
    <w:p>
      <w:pPr>
        <w:numPr>
          <w:ilvl w:val="1"/>
          <w:numId w:val="9"/>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9"/>
        </w:numPr>
        <w:adjustRightInd/>
        <w:spacing w:after="0"/>
        <w:ind w:left="2520"/>
        <w:rPr>
          <w:lang w:eastAsia="zh-CN"/>
        </w:rPr>
      </w:pPr>
      <w:r>
        <w:rPr>
          <w:lang w:eastAsia="zh-CN"/>
        </w:rPr>
        <w:t xml:space="preserve">Alt 2-1: </w:t>
      </w:r>
    </w:p>
    <w:p>
      <w:pPr>
        <w:numPr>
          <w:ilvl w:val="3"/>
          <w:numId w:val="9"/>
        </w:numPr>
        <w:adjustRightInd/>
        <w:spacing w:after="0"/>
        <w:ind w:left="3240"/>
        <w:rPr>
          <w:lang w:eastAsia="zh-CN"/>
        </w:rPr>
      </w:pPr>
      <w:bookmarkStart w:id="4" w:name="_Hlk72302031"/>
      <w:bookmarkStart w:id="5" w:name="_Hlk72859368"/>
      <w:r>
        <w:rPr>
          <w:lang w:eastAsia="zh-CN"/>
        </w:rPr>
        <w:t xml:space="preserve">UE can monitor DCI formats 0_1,1_1,0_2,1_2 on both PCell USS set(s) and sSCell USS sets </w:t>
      </w:r>
      <w:bookmarkEnd w:id="4"/>
      <w:r>
        <w:rPr>
          <w:lang w:eastAsia="zh-CN"/>
        </w:rPr>
        <w:t>simultaneously</w:t>
      </w:r>
    </w:p>
    <w:bookmarkEnd w:id="5"/>
    <w:p>
      <w:pPr>
        <w:numPr>
          <w:ilvl w:val="4"/>
          <w:numId w:val="9"/>
        </w:numPr>
        <w:adjustRightInd/>
        <w:spacing w:after="0"/>
        <w:ind w:left="3960"/>
        <w:rPr>
          <w:strike/>
          <w:color w:val="4472C4"/>
          <w:lang w:eastAsia="zh-CN"/>
        </w:rPr>
      </w:pPr>
      <w:r>
        <w:rPr>
          <w:strike/>
          <w:color w:val="4472C4"/>
          <w:lang w:eastAsia="zh-CN"/>
        </w:rPr>
        <w:t>FFS activation/deactivation of scheduling from sSCell to PCell/PSCell</w:t>
      </w:r>
    </w:p>
    <w:p>
      <w:pPr>
        <w:numPr>
          <w:ilvl w:val="2"/>
          <w:numId w:val="9"/>
        </w:numPr>
        <w:adjustRightInd/>
        <w:spacing w:after="0"/>
        <w:ind w:left="2520"/>
        <w:rPr>
          <w:lang w:eastAsia="zh-CN"/>
        </w:rPr>
      </w:pPr>
      <w:r>
        <w:rPr>
          <w:lang w:eastAsia="zh-CN"/>
        </w:rPr>
        <w:t xml:space="preserve">Alt 2-2: </w:t>
      </w:r>
    </w:p>
    <w:p>
      <w:pPr>
        <w:numPr>
          <w:ilvl w:val="3"/>
          <w:numId w:val="9"/>
        </w:numPr>
        <w:adjustRightInd/>
        <w:spacing w:after="0"/>
        <w:ind w:left="3240"/>
        <w:rPr>
          <w:lang w:eastAsia="zh-CN"/>
        </w:rPr>
      </w:pPr>
      <w:bookmarkStart w:id="6" w:name="_Hlk72302558"/>
      <w:r>
        <w:rPr>
          <w:lang w:eastAsia="zh-CN"/>
        </w:rPr>
        <w:t>Dynamic switching of PDCCH monitoring of DCI formats 0_1,1_1,0_2,1_2 between monitoring on PCell/PSCell USS sets and monitoring on sSCell USS sets is supported</w:t>
      </w:r>
    </w:p>
    <w:bookmarkEnd w:id="6"/>
    <w:p>
      <w:pPr>
        <w:numPr>
          <w:ilvl w:val="4"/>
          <w:numId w:val="9"/>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9"/>
        </w:numPr>
        <w:adjustRightInd/>
        <w:spacing w:after="0"/>
        <w:ind w:left="3240"/>
        <w:rPr>
          <w:lang w:eastAsia="zh-CN"/>
        </w:rPr>
      </w:pPr>
      <w:r>
        <w:rPr>
          <w:lang w:eastAsia="zh-CN"/>
        </w:rPr>
        <w:t>UE does not monitor DCI formats 0_1,1_1,0_2,1_2 on both PCell USS set(s) and sSCell USS sets simultaneously</w:t>
      </w:r>
    </w:p>
    <w:p>
      <w:pPr>
        <w:numPr>
          <w:ilvl w:val="2"/>
          <w:numId w:val="9"/>
        </w:numPr>
        <w:adjustRightInd/>
        <w:spacing w:after="0"/>
        <w:ind w:left="2520"/>
        <w:rPr>
          <w:lang w:eastAsia="zh-CN"/>
        </w:rPr>
      </w:pPr>
      <w:r>
        <w:rPr>
          <w:lang w:eastAsia="zh-CN"/>
        </w:rPr>
        <w:t xml:space="preserve">Alt 2-3: </w:t>
      </w:r>
    </w:p>
    <w:p>
      <w:pPr>
        <w:numPr>
          <w:ilvl w:val="3"/>
          <w:numId w:val="9"/>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9"/>
        </w:numPr>
        <w:adjustRightInd/>
        <w:spacing w:after="0"/>
        <w:ind w:left="2520"/>
        <w:rPr>
          <w:color w:val="ED7D31"/>
          <w:lang w:eastAsia="zh-CN"/>
        </w:rPr>
      </w:pPr>
      <w:r>
        <w:rPr>
          <w:color w:val="ED7D31"/>
          <w:lang w:eastAsia="zh-CN"/>
        </w:rPr>
        <w:t xml:space="preserve">Alt 2-4: </w:t>
      </w:r>
    </w:p>
    <w:p>
      <w:pPr>
        <w:numPr>
          <w:ilvl w:val="3"/>
          <w:numId w:val="9"/>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9"/>
        </w:numPr>
        <w:adjustRightInd/>
        <w:spacing w:after="0"/>
        <w:ind w:left="1080"/>
        <w:rPr>
          <w:lang w:eastAsia="zh-CN"/>
        </w:rPr>
      </w:pPr>
      <w:r>
        <w:rPr>
          <w:lang w:eastAsia="zh-CN"/>
        </w:rPr>
        <w:t>FFS following aspects</w:t>
      </w:r>
    </w:p>
    <w:p>
      <w:pPr>
        <w:numPr>
          <w:ilvl w:val="1"/>
          <w:numId w:val="9"/>
        </w:numPr>
        <w:adjustRightInd/>
        <w:spacing w:after="0"/>
        <w:ind w:left="1800"/>
        <w:rPr>
          <w:lang w:eastAsia="zh-CN"/>
        </w:rPr>
      </w:pPr>
      <w:r>
        <w:rPr>
          <w:lang w:eastAsia="zh-CN"/>
        </w:rPr>
        <w:t>Impact of sSCell activation/deactivation and sSCell dormancy</w:t>
      </w:r>
    </w:p>
    <w:p>
      <w:pPr>
        <w:numPr>
          <w:ilvl w:val="1"/>
          <w:numId w:val="9"/>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9"/>
        </w:numPr>
        <w:adjustRightInd/>
        <w:spacing w:after="0"/>
        <w:ind w:left="1800"/>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9"/>
        </w:numPr>
        <w:adjustRightInd/>
        <w:spacing w:after="0"/>
        <w:ind w:left="1800"/>
        <w:rPr>
          <w:color w:val="FF0000"/>
          <w:lang w:eastAsia="zh-CN"/>
        </w:rPr>
      </w:pPr>
      <w:r>
        <w:rPr>
          <w:color w:val="FF0000"/>
          <w:lang w:eastAsia="zh-CN"/>
        </w:rPr>
        <w:t>Impact from different numerologies between PDCCH on the PCell/PSCell and that on the sSCell</w:t>
      </w:r>
    </w:p>
    <w:p>
      <w:pPr>
        <w:numPr>
          <w:ilvl w:val="1"/>
          <w:numId w:val="9"/>
        </w:numPr>
        <w:adjustRightInd/>
        <w:spacing w:after="0"/>
        <w:ind w:left="1800"/>
        <w:rPr>
          <w:color w:val="ED7D31"/>
          <w:lang w:eastAsia="zh-CN"/>
        </w:rPr>
      </w:pPr>
      <w:r>
        <w:rPr>
          <w:color w:val="ED7D31"/>
          <w:lang w:eastAsia="zh-CN"/>
        </w:rPr>
        <w:t>Whether or not to have mechanism for activation/deactivation of scheduling from sSCell to PCell/PSCell</w:t>
      </w:r>
    </w:p>
    <w:p>
      <w:pPr>
        <w:numPr>
          <w:ilvl w:val="1"/>
          <w:numId w:val="9"/>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spacing w:after="0" w:line="240" w:lineRule="auto"/>
        <w:ind w:left="720"/>
        <w:contextualSpacing/>
        <w:rPr>
          <w:rFonts w:ascii="Times" w:hAnsi="Times" w:eastAsia="Batang"/>
          <w:szCs w:val="24"/>
          <w:lang w:eastAsia="zh-CN"/>
        </w:rPr>
      </w:pPr>
      <w:r>
        <w:rPr>
          <w:rFonts w:ascii="Times" w:hAnsi="Times" w:eastAsia="Batang"/>
          <w:szCs w:val="24"/>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rPr>
          <w:rFonts w:ascii="Times" w:hAnsi="Times" w:eastAsia="Batang"/>
          <w:szCs w:val="24"/>
        </w:rPr>
      </w:pPr>
      <w:r>
        <w:rPr>
          <w:rFonts w:ascii="Times" w:hAnsi="Times" w:eastAsia="Batang"/>
          <w:szCs w:val="24"/>
        </w:rPr>
        <w:t>FFS: Whether this agreement requires RAN1 specification impact.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highlight w:val="green"/>
        </w:rPr>
      </w:pPr>
      <w:r>
        <w:rPr>
          <w:rFonts w:ascii="Times" w:hAnsi="Times" w:eastAsia="Batang"/>
          <w:b/>
          <w:bCs/>
          <w:highlight w:val="green"/>
        </w:rPr>
        <w:t>Agreement</w:t>
      </w:r>
    </w:p>
    <w:p>
      <w:pPr>
        <w:spacing w:after="0" w:line="240" w:lineRule="auto"/>
        <w:ind w:left="720"/>
        <w:contextualSpacing/>
        <w:rPr>
          <w:rFonts w:ascii="Times" w:hAnsi="Times" w:eastAsia="Batang"/>
          <w:lang w:eastAsia="zh-CN"/>
        </w:rPr>
      </w:pPr>
      <w:r>
        <w:rPr>
          <w:rFonts w:ascii="Times" w:hAnsi="Times" w:eastAsia="Batang"/>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reception of a) unicast PDSCH on PCell/PSCell scheduled from PCell/PSCell and b) unicast PDSCH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transmission of a) PUSCH on PCell/PSCell scheduled from PCell/PSCell and b) PUSCH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Note: Simultaneous implies full/partial time overlapping</w:t>
      </w:r>
    </w:p>
    <w:p>
      <w:pPr>
        <w:overflowPunct/>
        <w:autoSpaceDE/>
        <w:autoSpaceDN/>
        <w:adjustRightInd/>
        <w:spacing w:after="0" w:line="240" w:lineRule="auto"/>
        <w:ind w:left="720"/>
        <w:rPr>
          <w:rFonts w:ascii="Times" w:hAnsi="Times" w:eastAsia="Batang"/>
        </w:rPr>
      </w:pPr>
      <w:r>
        <w:rPr>
          <w:rFonts w:ascii="Times" w:hAnsi="Times" w:eastAsia="Batang"/>
        </w:rPr>
        <w:t>FFS: Whether this agreement requires RAN1 specification impact.</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darkYellow"/>
        </w:rPr>
      </w:pPr>
      <w:r>
        <w:rPr>
          <w:rFonts w:ascii="Times" w:hAnsi="Times" w:eastAsia="Batang"/>
          <w:b/>
          <w:bCs/>
          <w:szCs w:val="24"/>
          <w:highlight w:val="darkYellow"/>
        </w:rPr>
        <w:t>Working Assumption</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eastAsia="zh-CN"/>
        </w:rPr>
        <w:t>The WA to be confirmed after agreements are made on PDCCH BD/CCE handling and PDCCH overbooking handling for CCS from sSCell to PCell/PSCell</w:t>
      </w:r>
    </w:p>
    <w:p>
      <w:pPr>
        <w:numPr>
          <w:ilvl w:val="0"/>
          <w:numId w:val="7"/>
        </w:numPr>
        <w:overflowPunct/>
        <w:autoSpaceDE/>
        <w:autoSpaceDN/>
        <w:adjustRightInd/>
        <w:spacing w:after="0" w:line="240" w:lineRule="auto"/>
        <w:ind w:left="1440"/>
        <w:contextualSpacing/>
        <w:rPr>
          <w:rFonts w:ascii="Times" w:hAnsi="Times" w:eastAsia="Batang" w:cs="Times"/>
          <w:szCs w:val="24"/>
          <w:lang w:eastAsia="zh-CN"/>
        </w:rPr>
      </w:pPr>
      <w:r>
        <w:rPr>
          <w:rFonts w:ascii="Times" w:hAnsi="Times" w:eastAsia="Batang"/>
          <w:szCs w:val="24"/>
          <w:lang w:eastAsia="zh-CN"/>
        </w:rPr>
        <w:t>Specs also allow UEs supporting functionality of only Alt-1. Capability signaling details, if any, can be handled during the UE capability discussion for Rel17</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FFS: Whether the UE can monitor PDCCH from both cells in the same slot.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w:t>
      </w:r>
    </w:p>
    <w:p>
      <w:pPr>
        <w:numPr>
          <w:ilvl w:val="1"/>
          <w:numId w:val="10"/>
        </w:numPr>
        <w:tabs>
          <w:tab w:val="left" w:pos="2160"/>
          <w:tab w:val="clear" w:pos="1440"/>
        </w:tabs>
        <w:overflowPunct/>
        <w:autoSpaceDE/>
        <w:autoSpaceDN/>
        <w:adjustRightInd/>
        <w:spacing w:after="0" w:line="240" w:lineRule="auto"/>
        <w:ind w:left="2160"/>
        <w:contextualSpacing/>
        <w:rPr>
          <w:rFonts w:ascii="Times" w:hAnsi="Times" w:eastAsia="Batang"/>
          <w:szCs w:val="24"/>
          <w:lang w:eastAsia="zh-CN"/>
        </w:rPr>
      </w:pPr>
      <w:r>
        <w:rPr>
          <w:rFonts w:ascii="Times" w:hAnsi="Times" w:eastAsia="Batang"/>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line="240" w:lineRule="auto"/>
        <w:ind w:left="720"/>
        <w:rPr>
          <w:rFonts w:ascii="Times" w:hAnsi="Times" w:eastAsia="Batang"/>
          <w:szCs w:val="24"/>
          <w:lang w:eastAsia="zh-CN"/>
        </w:rPr>
      </w:pPr>
      <w:r>
        <w:rPr>
          <w:rFonts w:ascii="Times" w:hAnsi="Times" w:eastAsia="Batang"/>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Batang"/>
          <w:b/>
          <w:bCs/>
          <w:szCs w:val="24"/>
          <w:lang w:eastAsia="zh-CN"/>
        </w:rPr>
      </w:pPr>
      <w:r>
        <w:rPr>
          <w:rFonts w:ascii="Times" w:hAnsi="Times" w:eastAsia="Batang"/>
          <w:b/>
          <w:bCs/>
          <w:szCs w:val="24"/>
          <w:lang w:eastAsia="zh-CN"/>
        </w:rPr>
        <w:t>For RAN1#105-e, companies are encouraged to consider:</w:t>
      </w:r>
    </w:p>
    <w:p>
      <w:pPr>
        <w:numPr>
          <w:ilvl w:val="0"/>
          <w:numId w:val="11"/>
        </w:numPr>
        <w:overflowPunct/>
        <w:autoSpaceDE/>
        <w:autoSpaceDN/>
        <w:adjustRightInd/>
        <w:spacing w:after="0" w:line="240" w:lineRule="auto"/>
        <w:ind w:left="1080"/>
        <w:contextualSpacing/>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11"/>
        </w:numPr>
        <w:overflowPunct/>
        <w:autoSpaceDE/>
        <w:autoSpaceDN/>
        <w:adjustRightInd/>
        <w:spacing w:after="0" w:line="240" w:lineRule="auto"/>
        <w:ind w:left="1800"/>
        <w:contextualSpacing/>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11"/>
        </w:numPr>
        <w:overflowPunct/>
        <w:autoSpaceDE/>
        <w:autoSpaceDN/>
        <w:adjustRightInd/>
        <w:spacing w:after="0" w:line="240" w:lineRule="auto"/>
        <w:ind w:left="3240"/>
        <w:contextualSpacing/>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bookmarkStart w:id="7" w:name="_Hlk72304823"/>
      <w:r>
        <w:rPr>
          <w:rFonts w:hint="eastAsia" w:ascii="Times" w:hAnsi="Times" w:eastAsia="Times New Roman"/>
          <w:szCs w:val="24"/>
          <w:lang w:eastAsia="ja-JP"/>
        </w:rPr>
        <w:t>Note</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rPr>
          <w:rFonts w:ascii="Times" w:hAnsi="Times" w:eastAsia="Times New Roman"/>
          <w:szCs w:val="24"/>
          <w:lang w:eastAsia="ja-JP"/>
        </w:rPr>
      </w:pPr>
    </w:p>
    <w:p>
      <w:pPr>
        <w:overflowPunct/>
        <w:autoSpaceDE/>
        <w:autoSpaceDN/>
        <w:adjustRightInd/>
        <w:spacing w:after="0" w:line="240" w:lineRule="auto"/>
        <w:contextualSpacing/>
        <w:rPr>
          <w:rFonts w:ascii="Times" w:hAnsi="Times" w:eastAsia="Times New Roman"/>
          <w:szCs w:val="24"/>
          <w:lang w:eastAsia="ja-JP"/>
        </w:rPr>
      </w:pPr>
    </w:p>
    <w:bookmarkEnd w:id="7"/>
    <w:p>
      <w:pPr>
        <w:pStyle w:val="3"/>
      </w:pPr>
      <w:r>
        <w:t>Agreements from RAN1#105-e</w:t>
      </w: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B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12"/>
        </w:numPr>
        <w:overflowPunct/>
        <w:autoSpaceDE/>
        <w:autoSpaceDN/>
        <w:adjustRightInd/>
        <w:spacing w:after="0" w:line="256" w:lineRule="auto"/>
        <w:ind w:left="2880"/>
        <w:contextualSpacing/>
        <w:rPr>
          <w:rFonts w:ascii="Times" w:hAnsi="Times" w:eastAsia="Calibri" w:cs="Times"/>
          <w:szCs w:val="22"/>
          <w:lang w:eastAsia="zh-CN"/>
        </w:rPr>
      </w:pPr>
      <w:r>
        <w:rPr>
          <w:rFonts w:ascii="Times" w:hAnsi="Times" w:eastAsia="DengXian" w:cs="Times"/>
          <w:szCs w:val="22"/>
          <w:lang w:eastAsia="zh-CN"/>
        </w:rPr>
        <w:t>Alt 2-1 is adopted</w:t>
      </w:r>
    </w:p>
    <w:p>
      <w:pPr>
        <w:numPr>
          <w:ilvl w:val="1"/>
          <w:numId w:val="12"/>
        </w:numPr>
        <w:overflowPunct/>
        <w:autoSpaceDE/>
        <w:autoSpaceDN/>
        <w:adjustRightInd/>
        <w:spacing w:after="0" w:line="256" w:lineRule="auto"/>
        <w:ind w:left="2160"/>
        <w:contextualSpacing/>
        <w:rPr>
          <w:rFonts w:ascii="Times" w:hAnsi="Times" w:eastAsia="Batang" w:cs="Times"/>
          <w:szCs w:val="22"/>
          <w:lang w:eastAsia="zh-CN"/>
        </w:rPr>
      </w:pPr>
      <w:r>
        <w:rPr>
          <w:rFonts w:ascii="Times" w:hAnsi="Times" w:eastAsia="Calibri" w:cs="Times"/>
          <w:szCs w:val="22"/>
          <w:lang w:eastAsia="zh-CN"/>
        </w:rPr>
        <w:t>There is no restriction on Type-0/0A/1/2-CSS sets configurations</w:t>
      </w:r>
    </w:p>
    <w:p>
      <w:pPr>
        <w:numPr>
          <w:ilvl w:val="1"/>
          <w:numId w:val="12"/>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and/or Type B UE</w:t>
      </w:r>
    </w:p>
    <w:p>
      <w:pPr>
        <w:numPr>
          <w:ilvl w:val="1"/>
          <w:numId w:val="12"/>
        </w:numPr>
        <w:overflowPunct/>
        <w:autoSpaceDE/>
        <w:autoSpaceDN/>
        <w:adjustRightInd/>
        <w:spacing w:after="0" w:line="276" w:lineRule="auto"/>
        <w:ind w:left="2160"/>
        <w:jc w:val="both"/>
        <w:rPr>
          <w:rFonts w:ascii="Times" w:hAnsi="Times" w:eastAsia="MS Mincho" w:cs="Times"/>
          <w:szCs w:val="22"/>
          <w:lang w:eastAsia="ja-JP"/>
        </w:rPr>
      </w:pPr>
      <w:r>
        <w:rPr>
          <w:rFonts w:ascii="Times" w:hAnsi="Times" w:eastAsia="Batang" w:cs="Times"/>
          <w:szCs w:val="22"/>
          <w:lang w:eastAsia="zh-CN"/>
        </w:rPr>
        <w:t xml:space="preserve">FFS: </w:t>
      </w:r>
      <w:r>
        <w:rPr>
          <w:rFonts w:ascii="Times" w:hAnsi="Times" w:eastAsia="Batang" w:cs="Times"/>
          <w:szCs w:val="22"/>
          <w:lang w:val="en-US" w:eastAsia="zh-CN"/>
        </w:rPr>
        <w:t xml:space="preserve">switching to ‘normal’ PDCCH monitoring on P(S)Cell when sSCell is </w:t>
      </w:r>
      <w:r>
        <w:rPr>
          <w:rFonts w:ascii="Times" w:hAnsi="Times" w:eastAsia="Batang" w:cs="Times"/>
          <w:szCs w:val="22"/>
          <w:lang w:eastAsia="zh-CN"/>
        </w:rPr>
        <w:t>d</w:t>
      </w:r>
      <w:r>
        <w:rPr>
          <w:rFonts w:ascii="Times" w:hAnsi="Times" w:eastAsia="Batang" w:cs="Times"/>
          <w:szCs w:val="22"/>
          <w:lang w:val="en-US" w:eastAsia="zh-CN"/>
        </w:rPr>
        <w:t>eactivated</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Type A is specified or is Type-B with restrictions (as part of UE features discussion)</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UE can be configured with unaligned CA</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above applies for multicast PDSCH</w:t>
      </w:r>
    </w:p>
    <w:p>
      <w:pPr>
        <w:overflowPunct/>
        <w:autoSpaceDE/>
        <w:autoSpaceDN/>
        <w:adjustRightInd/>
        <w:spacing w:after="0" w:line="240" w:lineRule="auto"/>
        <w:ind w:left="720"/>
        <w:rPr>
          <w:rFonts w:ascii="Times" w:hAnsi="Times" w:eastAsia="Batang"/>
          <w:szCs w:val="24"/>
          <w:lang w:eastAsia="zh-CN"/>
        </w:rPr>
      </w:pPr>
    </w:p>
    <w:p>
      <w:pPr>
        <w:overflowPunct/>
        <w:autoSpaceDE/>
        <w:autoSpaceDN/>
        <w:adjustRightInd/>
        <w:spacing w:after="0" w:line="240" w:lineRule="auto"/>
        <w:ind w:left="720"/>
        <w:rPr>
          <w:rFonts w:ascii="Times" w:hAnsi="Times" w:eastAsia="Batang"/>
          <w:b/>
          <w:bCs/>
          <w:szCs w:val="24"/>
          <w:lang w:eastAsia="zh-CN"/>
        </w:rPr>
      </w:pPr>
      <w:r>
        <w:rPr>
          <w:rFonts w:ascii="Times" w:hAnsi="Times" w:eastAsia="Batang"/>
          <w:b/>
          <w:bCs/>
          <w:szCs w:val="24"/>
          <w:lang w:eastAsia="zh-CN"/>
        </w:rPr>
        <w:t>Discuss further in RAN1#106-e:</w:t>
      </w:r>
    </w:p>
    <w:p>
      <w:pPr>
        <w:numPr>
          <w:ilvl w:val="0"/>
          <w:numId w:val="12"/>
        </w:numPr>
        <w:overflowPunct/>
        <w:autoSpaceDE/>
        <w:autoSpaceDN/>
        <w:adjustRightInd/>
        <w:spacing w:after="160" w:line="259" w:lineRule="auto"/>
        <w:ind w:left="1800"/>
        <w:contextualSpacing/>
        <w:rPr>
          <w:rFonts w:ascii="Times" w:hAnsi="Times" w:eastAsia="Batang"/>
          <w:szCs w:val="24"/>
          <w:lang w:eastAsia="zh-CN"/>
        </w:rPr>
      </w:pPr>
      <w:r>
        <w:rPr>
          <w:rFonts w:ascii="Times" w:hAnsi="Times" w:eastAsia="Batang"/>
          <w:szCs w:val="24"/>
          <w:lang w:eastAsia="zh-CN"/>
        </w:rPr>
        <w:t xml:space="preserve">For at least Type B UE, downselect from one of the BD/CCE limit handling options below </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Batang"/>
          <w:szCs w:val="24"/>
          <w:lang w:eastAsia="zh-CN"/>
        </w:rPr>
        <w:t xml:space="preserve">[based on Option A/C] When UE is configured for CCS from sSCell to P(S)Cell and </w:t>
      </w:r>
      <w:r>
        <w:rPr>
          <w:rFonts w:ascii="Times" w:hAnsi="Times" w:eastAsia="Batang"/>
          <w:szCs w:val="24"/>
          <w:lang w:val="en-US" w:eastAsia="zh-CN"/>
        </w:rPr>
        <w:t>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Malgun Gothic"/>
          <w:szCs w:val="24"/>
          <w:lang w:eastAsia="zh-CN"/>
        </w:rPr>
        <w:t>On sSCell (for cross-carrier scheduling to P(S)Cell)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At least case of </w:t>
      </w:r>
      <m:oMath>
        <m:r>
          <m:rPr/>
          <w:rPr>
            <w:rFonts w:ascii="Cambria Math" w:hAnsi="Cambria Math"/>
          </w:rPr>
          <m:t>α+β≤1</m:t>
        </m:r>
      </m:oMath>
      <w:r>
        <w:rPr>
          <w:rFonts w:ascii="Times" w:hAnsi="Times" w:eastAsia="Batang"/>
          <w:szCs w:val="24"/>
          <w:lang w:eastAsia="zh-CN"/>
        </w:rPr>
        <w:t xml:space="preserve"> is supported.</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FFS multi-TRP case</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FFS following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Selection between Alt1 vs. Alt2 above</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12"/>
        </w:numPr>
        <w:overflowPunct/>
        <w:autoSpaceDE/>
        <w:autoSpaceDN/>
        <w:adjustRightInd/>
        <w:spacing w:after="160" w:line="259" w:lineRule="auto"/>
        <w:ind w:left="3960"/>
        <w:contextualSpacing/>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Malgun Gothic"/>
          <w:szCs w:val="24"/>
          <w:lang w:eastAsia="zh-CN"/>
        </w:rPr>
        <w:t xml:space="preserve">[based on Option B] </w:t>
      </w:r>
      <w:r>
        <w:rPr>
          <w:rFonts w:ascii="Times" w:hAnsi="Times" w:eastAsia="Batang"/>
          <w:szCs w:val="24"/>
          <w:lang w:eastAsia="zh-CN"/>
        </w:rPr>
        <w:t xml:space="preserve">When UE is configured for CCS from sSCell to P(S)Cell and </w:t>
      </w:r>
      <w:r>
        <w:rPr>
          <w:rFonts w:ascii="Times" w:hAnsi="Times" w:eastAsia="Batang"/>
          <w:szCs w:val="24"/>
          <w:lang w:val="en-US" w:eastAsia="zh-CN"/>
        </w:rPr>
        <w:t>when 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On sSCell </w:t>
      </w:r>
      <w:r>
        <w:rPr>
          <w:rFonts w:ascii="Times" w:hAnsi="Times" w:eastAsia="Malgun Gothic"/>
          <w:szCs w:val="24"/>
          <w:lang w:eastAsia="zh-CN"/>
        </w:rPr>
        <w:t>(for cross-carrier scheduling to P(S)Cell)</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2</w:t>
      </w:r>
    </w:p>
    <w:p>
      <w:pPr>
        <w:numPr>
          <w:ilvl w:val="5"/>
          <w:numId w:val="12"/>
        </w:numPr>
        <w:overflowPunct/>
        <w:autoSpaceDE/>
        <w:autoSpaceDN/>
        <w:adjustRightInd/>
        <w:spacing w:after="160" w:line="259" w:lineRule="auto"/>
        <w:ind w:left="5400"/>
        <w:contextualSpacing/>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FFS: selection between Alt-1 and Alt-2</w:t>
      </w:r>
    </w:p>
    <w:p>
      <w:pPr>
        <w:numPr>
          <w:ilvl w:val="1"/>
          <w:numId w:val="12"/>
        </w:numPr>
        <w:overflowPunct/>
        <w:autoSpaceDE/>
        <w:autoSpaceDN/>
        <w:adjustRightInd/>
        <w:spacing w:after="160" w:line="259" w:lineRule="auto"/>
        <w:ind w:left="2520"/>
        <w:contextualSpacing/>
        <w:rPr>
          <w:rFonts w:ascii="Times" w:hAnsi="Times" w:eastAsia="Calibri"/>
          <w:color w:val="5B9BD5"/>
          <w:szCs w:val="24"/>
          <w:lang w:eastAsia="zh-CN"/>
        </w:rPr>
      </w:pPr>
      <w:r>
        <w:rPr>
          <w:rFonts w:ascii="Times" w:hAnsi="Times" w:eastAsia="Batang"/>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Batang"/>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Batang"/>
          <w:color w:val="5B9BD5"/>
          <w:szCs w:val="24"/>
          <w:lang w:eastAsia="zh-CN"/>
        </w:rPr>
        <w:t xml:space="preserve"> is modified compared to Rel16 when UE is configured with CCS from sSCell to P(S)Cell</w:t>
      </w:r>
    </w:p>
    <w:p>
      <w:pPr>
        <w:pStyle w:val="3"/>
      </w:pPr>
      <w:r>
        <w:t>Agreements from RAN1#106-e</w:t>
      </w: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overflowPunct/>
        <w:autoSpaceDE/>
        <w:autoSpaceDN/>
        <w:adjustRightInd/>
        <w:spacing w:after="0" w:line="240" w:lineRule="auto"/>
        <w:ind w:left="720"/>
        <w:textAlignment w:val="baseline"/>
        <w:rPr>
          <w:rFonts w:ascii="Times" w:hAnsi="Times" w:eastAsia="Batang"/>
          <w:szCs w:val="24"/>
          <w:lang w:eastAsia="zh-CN"/>
        </w:rPr>
      </w:pPr>
      <w:r>
        <w:rPr>
          <w:rFonts w:ascii="Times" w:hAnsi="Times" w:eastAsia="Batang"/>
          <w:szCs w:val="24"/>
          <w:lang w:eastAsia="zh-CN"/>
        </w:rPr>
        <w:t>Specification supports dormant BWP operation on sSCell for a UE is configured CCS from sSCell to P(S)Cell.</w:t>
      </w:r>
    </w:p>
    <w:p>
      <w:pPr>
        <w:overflowPunct/>
        <w:autoSpaceDE/>
        <w:autoSpaceDN/>
        <w:adjustRightInd/>
        <w:spacing w:after="0" w:line="240" w:lineRule="auto"/>
        <w:ind w:left="720"/>
        <w:textAlignment w:val="baseline"/>
        <w:rPr>
          <w:rFonts w:ascii="Times" w:hAnsi="Times" w:eastAsia="Batang"/>
          <w:szCs w:val="24"/>
          <w:lang w:eastAsia="zh-CN"/>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tabs>
          <w:tab w:val="left" w:pos="720"/>
          <w:tab w:val="left" w:pos="1440"/>
        </w:tabs>
        <w:overflowPunct/>
        <w:autoSpaceDE/>
        <w:autoSpaceDN/>
        <w:adjustRightInd/>
        <w:spacing w:after="0" w:line="240" w:lineRule="auto"/>
        <w:ind w:left="1440"/>
        <w:contextualSpacing/>
        <w:textAlignment w:val="baseline"/>
        <w:rPr>
          <w:rFonts w:ascii="Times" w:hAnsi="Times" w:eastAsia="Batang"/>
          <w:szCs w:val="24"/>
          <w:lang w:eastAsia="zh-CN"/>
        </w:rPr>
      </w:pPr>
      <w:r>
        <w:rPr>
          <w:rFonts w:ascii="Times" w:hAnsi="Times" w:eastAsia="Batang"/>
          <w:szCs w:val="24"/>
          <w:lang w:eastAsia="zh-CN"/>
        </w:rPr>
        <w:t>When CCS from sSCell to P(S)Cell is configured for a UE</w:t>
      </w:r>
    </w:p>
    <w:p>
      <w:pPr>
        <w:numPr>
          <w:ilvl w:val="1"/>
          <w:numId w:val="13"/>
        </w:numPr>
        <w:overflowPunct/>
        <w:autoSpaceDE/>
        <w:autoSpaceDN/>
        <w:adjustRightInd/>
        <w:spacing w:after="0" w:line="240" w:lineRule="auto"/>
        <w:ind w:left="2160"/>
        <w:contextualSpacing/>
        <w:textAlignment w:val="baseline"/>
        <w:rPr>
          <w:rFonts w:ascii="Times" w:hAnsi="Times" w:eastAsia="Batang"/>
          <w:szCs w:val="24"/>
          <w:lang w:eastAsia="zh-CN"/>
        </w:rPr>
      </w:pPr>
      <w:r>
        <w:rPr>
          <w:rFonts w:ascii="Times" w:hAnsi="Times" w:eastAsia="Batang"/>
          <w:szCs w:val="24"/>
          <w:lang w:eastAsia="zh-CN"/>
        </w:rPr>
        <w:t>at least the number of PDCCH monitoring candidates monitored on sSCell (for scheduling P(S)Cell) is indicated to the UE using the SS set linking approach as in Rel16</w:t>
      </w:r>
    </w:p>
    <w:p>
      <w:pPr>
        <w:numPr>
          <w:ilvl w:val="1"/>
          <w:numId w:val="13"/>
        </w:numPr>
        <w:overflowPunct/>
        <w:autoSpaceDE/>
        <w:autoSpaceDN/>
        <w:adjustRightInd/>
        <w:spacing w:after="0" w:line="240" w:lineRule="auto"/>
        <w:ind w:left="2160"/>
        <w:contextualSpacing/>
        <w:textAlignment w:val="baseline"/>
        <w:rPr>
          <w:rFonts w:ascii="Times" w:hAnsi="Times" w:eastAsia="Batang"/>
          <w:strike/>
          <w:szCs w:val="24"/>
          <w:lang w:eastAsia="zh-CN"/>
        </w:rPr>
      </w:pPr>
      <w:r>
        <w:rPr>
          <w:rFonts w:ascii="Times" w:hAnsi="Times" w:eastAsia="Batang"/>
          <w:strike/>
          <w:szCs w:val="24"/>
          <w:lang w:eastAsia="zh-CN"/>
        </w:rPr>
        <w:t xml:space="preserve">FFS: If any modifications to Rel16 approach are introduced for </w:t>
      </w:r>
      <w:r>
        <w:rPr>
          <w:rFonts w:ascii="Times" w:hAnsi="Times" w:eastAsia="MS Mincho"/>
          <w:i/>
          <w:iCs/>
          <w:strike/>
          <w:szCs w:val="24"/>
          <w:lang w:eastAsia="ja-JP"/>
        </w:rPr>
        <w:t xml:space="preserve">monitoringSlotPeriodicityAndOffset, monitoringSymbolsWithinSlot, duration </w:t>
      </w:r>
      <w:r>
        <w:rPr>
          <w:rFonts w:ascii="Times" w:hAnsi="Times" w:eastAsia="Batang"/>
          <w:strike/>
          <w:szCs w:val="24"/>
          <w:lang w:eastAsia="zh-CN"/>
        </w:rPr>
        <w:t>for the PDCCH monitoring candidates monitored on sSCell (for scheduling P(S)Cell)</w:t>
      </w:r>
    </w:p>
    <w:p>
      <w:pPr>
        <w:overflowPunct/>
        <w:autoSpaceDE/>
        <w:autoSpaceDN/>
        <w:adjustRightInd/>
        <w:spacing w:after="0" w:line="240" w:lineRule="auto"/>
        <w:ind w:left="720"/>
        <w:textAlignment w:val="baseline"/>
        <w:rPr>
          <w:rFonts w:eastAsia="Times New Roman"/>
          <w:lang w:eastAsia="en-GB"/>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overflowPunct/>
        <w:autoSpaceDE/>
        <w:autoSpaceDN/>
        <w:adjustRightInd/>
        <w:spacing w:after="160" w:line="259" w:lineRule="auto"/>
        <w:ind w:left="1440"/>
        <w:contextualSpacing/>
        <w:textAlignment w:val="baseline"/>
        <w:rPr>
          <w:rFonts w:ascii="Times" w:hAnsi="Times" w:eastAsia="Batang"/>
          <w:szCs w:val="24"/>
          <w:lang w:eastAsia="en-GB"/>
        </w:rPr>
      </w:pPr>
      <w:r>
        <w:rPr>
          <w:rFonts w:ascii="Times" w:hAnsi="Times" w:eastAsia="Batang"/>
          <w:szCs w:val="24"/>
          <w:lang w:eastAsia="en-GB"/>
        </w:rPr>
        <w:t xml:space="preserve">At least for Type B UE, when the UE is configured for CCS from sSCell to P(S)Cell and </w:t>
      </w:r>
      <w:r>
        <w:rPr>
          <w:rFonts w:ascii="Times" w:hAnsi="Times" w:eastAsia="Batang"/>
          <w:szCs w:val="24"/>
          <w:lang w:eastAsia="zh-CN"/>
        </w:rPr>
        <w:t>when P(S)Cell SCS (</w:t>
      </w:r>
      <m:oMath>
        <m:r>
          <m:rPr>
            <m:sty m:val="p"/>
          </m:rPr>
          <w:rPr>
            <w:rFonts w:ascii="Cambria Math" w:hAnsi="Cambria Math" w:eastAsia="Times New Roman"/>
            <w:lang w:eastAsia="en-GB"/>
          </w:rPr>
          <m:t>μ</m:t>
        </m:r>
      </m:oMath>
      <w:r>
        <w:rPr>
          <w:rFonts w:ascii="Times" w:hAnsi="Times" w:eastAsia="Batang"/>
          <w:szCs w:val="24"/>
          <w:lang w:eastAsia="zh-CN"/>
        </w:rPr>
        <w:t>) is less than or equal to sSCell SCS (</w:t>
      </w:r>
      <m:oMath>
        <m:r>
          <m:rPr>
            <m:sty m:val="p"/>
          </m:rPr>
          <w:rPr>
            <w:rFonts w:ascii="Cambria Math" w:hAnsi="Cambria Math" w:eastAsia="Times New Roman"/>
            <w:lang w:eastAsia="en-GB"/>
          </w:rPr>
          <m:t>μ1</m:t>
        </m:r>
      </m:oMath>
      <w:r>
        <w:rPr>
          <w:rFonts w:ascii="Times" w:hAnsi="Times" w:eastAsia="Batang"/>
          <w:szCs w:val="24"/>
          <w:lang w:eastAsia="zh-CN"/>
        </w:rPr>
        <w:t xml:space="preserve">), </w:t>
      </w:r>
      <w:r>
        <w:rPr>
          <w:rFonts w:ascii="Times" w:hAnsi="Times" w:eastAsia="Batang"/>
          <w:color w:val="4472C4"/>
          <w:szCs w:val="24"/>
          <w:lang w:eastAsia="zh-CN"/>
        </w:rPr>
        <w:t>and at least when UE is not provided</w:t>
      </w:r>
      <w:r>
        <w:rPr>
          <w:rFonts w:ascii="Times" w:hAnsi="Times" w:eastAsia="Batang"/>
          <w:color w:val="4472C4"/>
          <w:szCs w:val="24"/>
          <w:lang w:eastAsia="en-GB"/>
        </w:rPr>
        <w:t xml:space="preserve"> monitoringCapabilityConfig for any cell, down select one from [based on Option A/C] or [based Option C] below</w:t>
      </w:r>
    </w:p>
    <w:p>
      <w:pPr>
        <w:numPr>
          <w:ilvl w:val="1"/>
          <w:numId w:val="13"/>
        </w:numPr>
        <w:overflowPunct/>
        <w:autoSpaceDE/>
        <w:autoSpaceDN/>
        <w:adjustRightInd/>
        <w:spacing w:after="160" w:line="259" w:lineRule="auto"/>
        <w:ind w:left="2160"/>
        <w:contextualSpacing/>
        <w:textAlignment w:val="baseline"/>
        <w:rPr>
          <w:rFonts w:ascii="Times" w:hAnsi="Times" w:eastAsia="Batang"/>
          <w:szCs w:val="24"/>
          <w:lang w:eastAsia="en-GB"/>
        </w:rPr>
      </w:pPr>
      <w:r>
        <w:rPr>
          <w:rFonts w:ascii="Times" w:hAnsi="Times" w:eastAsia="Batang"/>
          <w:szCs w:val="24"/>
          <w:lang w:eastAsia="en-GB"/>
        </w:rPr>
        <w:t>[based on Option A/C]</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Batang"/>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not required to monitor more than </w:t>
      </w:r>
      <m:oMath>
        <m:r>
          <m:rPr>
            <m:sty m:val="p"/>
          </m:rPr>
          <w:rPr>
            <w:rFonts w:ascii="Cambria Math" w:hAnsi="Cambria Math" w:eastAsia="Times New Roman"/>
            <w:lang w:eastAsia="en-GB"/>
          </w:rPr>
          <m:t>α∗</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r>
          <m:rPr>
            <m:sty m:val="p"/>
          </m:rPr>
          <w:rPr>
            <w:rFonts w:ascii="Cambria Math" w:hAnsi="Cambria Math" w:eastAsia="DengXian"/>
            <w:lang w:eastAsia="en-GB"/>
          </w:rPr>
          <m:t xml:space="preserve"> </m:t>
        </m:r>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DengXian"/>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UE is not required to monitor more than [</w:t>
      </w:r>
      <m:oMath>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max,slot,</m:t>
                    </m:r>
                    <m:r>
                      <m:rPr>
                        <m:sty m:val="p"/>
                      </m:rPr>
                      <w:rPr>
                        <w:rFonts w:ascii="Cambria Math" w:hAnsi="Cambria Math" w:eastAsia="Times New Roman"/>
                        <w:lang w:eastAsia="en-GB"/>
                      </w:rPr>
                      <m:t>μ1</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m:sty m:val="p"/>
                      </m:rPr>
                      <w:rPr>
                        <w:rFonts w:ascii="Cambria Math" w:hAnsi="Cambria Math" w:eastAsia="Times New Roman"/>
                        <w:lang w:eastAsia="en-GB"/>
                      </w:rPr>
                      <m:t>μ1</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zh-CN"/>
        </w:rPr>
        <w:t xml:space="preserve"> or </w:t>
      </w:r>
      <m:oMath>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max,slot,μ1</m:t>
            </m:r>
            <m:ctrlPr>
              <w:rPr>
                <w:rFonts w:ascii="Cambria Math" w:hAnsi="Cambria Math" w:eastAsia="Times New Roman"/>
                <w:lang w:eastAsia="en-GB"/>
              </w:rPr>
            </m:ctrlPr>
          </m:sup>
        </m:sSubSup>
      </m:oMath>
      <w:r>
        <w:rPr>
          <w:rFonts w:ascii="Times" w:hAnsi="Times" w:eastAsia="DengXian"/>
          <w:szCs w:val="24"/>
          <w:lang w:eastAsia="en-GB"/>
        </w:rPr>
        <w:t>] PDCCH BD candidates per sSCell slot</w:t>
      </w:r>
      <w:r>
        <w:rPr>
          <w:rFonts w:ascii="Times" w:hAnsi="Times" w:eastAsia="DengXian"/>
          <w:color w:val="4472C4"/>
          <w:szCs w:val="24"/>
          <w:lang w:eastAsia="en-GB"/>
        </w:rPr>
        <w:t xml:space="preserve"> (Note: this is assumed per Rel16)</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additionally not required to monitor more than </w:t>
      </w:r>
      <m:oMath>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m:oMath>
        <m:r>
          <m:rPr>
            <m:sty m:val="p"/>
          </m:rPr>
          <w:rPr>
            <w:rFonts w:ascii="Cambria Math" w:hAnsi="Cambria Math" w:eastAsia="Times New Roman"/>
            <w:lang w:eastAsia="en-GB"/>
          </w:rPr>
          <m:t>0≤α≤1</m:t>
        </m:r>
      </m:oMath>
      <w:r>
        <w:rPr>
          <w:rFonts w:ascii="Times" w:hAnsi="Times" w:eastAsia="Batang"/>
          <w:szCs w:val="24"/>
          <w:lang w:eastAsia="en-GB"/>
        </w:rPr>
        <w:t xml:space="preserve">  and</w:t>
      </w:r>
      <m:oMath>
        <m:r>
          <m:rPr>
            <m:sty m:val="p"/>
          </m:rPr>
          <w:rPr>
            <w:rFonts w:ascii="Cambria Math" w:hAnsi="Cambria Math" w:eastAsia="Times New Roman"/>
            <w:lang w:eastAsia="en-GB"/>
          </w:rPr>
          <m:t>0≤β≤1</m:t>
        </m:r>
      </m:oMath>
      <w:r>
        <w:rPr>
          <w:rFonts w:ascii="Times" w:hAnsi="Times" w:eastAsia="Batang"/>
          <w:szCs w:val="24"/>
          <w:lang w:eastAsia="en-GB"/>
        </w:rPr>
        <w:t xml:space="preserve">   are based on RRC configuration and at least cases o</w:t>
      </w:r>
      <w:r>
        <w:rPr>
          <w:rFonts w:ascii="Times" w:hAnsi="Times" w:eastAsia="Batang"/>
          <w:strike/>
          <w:szCs w:val="24"/>
          <w:lang w:eastAsia="en-GB"/>
        </w:rPr>
        <w:t xml:space="preserve">f </w:t>
      </w:r>
      <m:oMath>
        <m:r>
          <m:rPr>
            <m:sty m:val="p"/>
          </m:rPr>
          <w:rPr>
            <w:rFonts w:ascii="Cambria Math" w:hAnsi="Cambria Math" w:eastAsia="Times New Roman"/>
            <w:lang w:eastAsia="en-GB"/>
          </w:rPr>
          <m:t>α+β≤1</m:t>
        </m:r>
      </m:oMath>
      <w:r>
        <w:rPr>
          <w:rFonts w:ascii="Times" w:hAnsi="Times" w:eastAsia="Batang"/>
          <w:strike/>
          <w:szCs w:val="24"/>
          <w:lang w:eastAsia="en-GB"/>
        </w:rPr>
        <w:t xml:space="preserve"> </w:t>
      </w:r>
      <w:r>
        <w:rPr>
          <w:rFonts w:ascii="Times" w:hAnsi="Times" w:eastAsia="Batang"/>
          <w:szCs w:val="24"/>
          <w:lang w:eastAsia="en-GB"/>
        </w:rPr>
        <w:t>are supported</w:t>
      </w:r>
    </w:p>
    <w:p>
      <w:pPr>
        <w:numPr>
          <w:ilvl w:val="2"/>
          <w:numId w:val="13"/>
        </w:numPr>
        <w:overflowPunct/>
        <w:autoSpaceDE/>
        <w:autoSpaceDN/>
        <w:adjustRightInd/>
        <w:spacing w:after="160" w:line="259" w:lineRule="auto"/>
        <w:ind w:left="2880"/>
        <w:contextualSpacing/>
        <w:textAlignment w:val="baseline"/>
        <w:rPr>
          <w:rFonts w:ascii="Times" w:hAnsi="Times" w:eastAsia="DengXian"/>
          <w:szCs w:val="24"/>
          <w:lang w:eastAsia="en-GB"/>
        </w:rPr>
      </w:pPr>
      <w:r>
        <w:rPr>
          <w:rFonts w:ascii="Times" w:hAnsi="Times" w:eastAsia="Batang"/>
          <w:szCs w:val="24"/>
          <w:lang w:eastAsia="en-GB"/>
        </w:rPr>
        <w:t>FFS the following for [based on Option A/C]</w:t>
      </w:r>
    </w:p>
    <w:p>
      <w:pPr>
        <w:numPr>
          <w:ilvl w:val="3"/>
          <w:numId w:val="13"/>
        </w:numPr>
        <w:overflowPunct/>
        <w:autoSpaceDE/>
        <w:autoSpaceDN/>
        <w:adjustRightInd/>
        <w:spacing w:after="0" w:line="240" w:lineRule="auto"/>
        <w:ind w:left="3600"/>
        <w:contextualSpacing/>
        <w:textAlignment w:val="baseline"/>
        <w:rPr>
          <w:rFonts w:ascii="Times" w:hAnsi="Times" w:eastAsia="Batang"/>
          <w:szCs w:val="24"/>
          <w:lang w:eastAsia="en-GB"/>
        </w:rPr>
      </w:pPr>
      <w:r>
        <w:rPr>
          <w:rFonts w:ascii="Times" w:hAnsi="Times" w:eastAsia="Batang"/>
          <w:szCs w:val="24"/>
          <w:lang w:eastAsia="en-GB"/>
        </w:rPr>
        <w:t>Distribution of PDCCH BD candidates between multiple sSCell slots overlapping a P(S)Cell slot including whether the above additional BD limitation is defined per sSCell slot or per P(S)Cell slot.</w:t>
      </w:r>
    </w:p>
    <w:p>
      <w:pPr>
        <w:numPr>
          <w:ilvl w:val="4"/>
          <w:numId w:val="13"/>
        </w:numPr>
        <w:overflowPunct/>
        <w:autoSpaceDE/>
        <w:autoSpaceDN/>
        <w:adjustRightInd/>
        <w:spacing w:after="0" w:line="240" w:lineRule="auto"/>
        <w:ind w:left="4320"/>
        <w:contextualSpacing/>
        <w:textAlignment w:val="baseline"/>
        <w:rPr>
          <w:rFonts w:ascii="Times" w:hAnsi="Times" w:eastAsia="Batang"/>
          <w:szCs w:val="24"/>
          <w:lang w:eastAsia="en-GB"/>
        </w:rPr>
      </w:pPr>
      <w:r>
        <w:rPr>
          <w:rFonts w:ascii="Times" w:hAnsi="Times" w:eastAsia="Batang"/>
          <w:szCs w:val="24"/>
          <w:lang w:eastAsia="en-GB"/>
        </w:rPr>
        <w:t>Discuss further using following alternatives as starting point (other alternatives/further refinement of alternatives not precluded)</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 xml:space="preserve"> Alt1</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 xml:space="preserve">The additional BD limitation is per sSCell slot with further limitation that UE is not required to monitor more than </w:t>
      </w:r>
      <m:oMath>
        <m:sSup>
          <m:sSupPr>
            <m:ctrlPr>
              <w:rPr>
                <w:rFonts w:ascii="Cambria Math" w:hAnsi="Cambria Math" w:eastAsia="Times New Roman"/>
                <w:i/>
                <w:lang w:eastAsia="en-GB"/>
              </w:rPr>
            </m:ctrlPr>
          </m:sSupPr>
          <m:e>
            <m:r>
              <m:rPr/>
              <w:rPr>
                <w:rFonts w:ascii="Cambria Math" w:hAnsi="Cambria Math" w:eastAsia="Times New Roman"/>
                <w:lang w:eastAsia="en-GB"/>
              </w:rPr>
              <m:t>2</m:t>
            </m:r>
            <m:ctrlPr>
              <w:rPr>
                <w:rFonts w:ascii="Cambria Math" w:hAnsi="Cambria Math" w:eastAsia="Times New Roman"/>
                <w:i/>
                <w:lang w:eastAsia="en-GB"/>
              </w:rPr>
            </m:ctrlPr>
          </m:e>
          <m:sup>
            <m:r>
              <m:rPr/>
              <w:rPr>
                <w:rFonts w:ascii="Cambria Math" w:hAnsi="Cambria Math" w:eastAsia="Times New Roman"/>
                <w:lang w:eastAsia="en-GB"/>
              </w:rPr>
              <m:t>µ−µ1</m:t>
            </m:r>
            <m:ctrlPr>
              <w:rPr>
                <w:rFonts w:ascii="Cambria Math" w:hAnsi="Cambria Math" w:eastAsia="Times New Roman"/>
                <w:i/>
                <w:lang w:eastAsia="en-GB"/>
              </w:rPr>
            </m:ctrlPr>
          </m:sup>
        </m:sSup>
        <m:r>
          <m:rPr/>
          <w:rPr>
            <w:rFonts w:ascii="Cambria Math" w:hAnsi="Cambria Math" w:eastAsia="Times New Roman"/>
            <w:lang w:eastAsia="en-GB"/>
          </w:rPr>
          <m:t>∗</m:t>
        </m:r>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sSCell slot</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Alt 2</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P(S)Cell slot and no further restrictions</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Batang"/>
          <w:szCs w:val="24"/>
          <w:lang w:eastAsia="en-GB"/>
        </w:rPr>
        <w:t>Alt 3</w:t>
      </w:r>
    </w:p>
    <w:p>
      <w:pPr>
        <w:numPr>
          <w:ilvl w:val="6"/>
          <w:numId w:val="13"/>
        </w:numPr>
        <w:overflowPunct/>
        <w:autoSpaceDE/>
        <w:autoSpaceDN/>
        <w:adjustRightInd/>
        <w:spacing w:after="0" w:line="240"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P(S)SCell slot with below further limitation</w:t>
      </w:r>
    </w:p>
    <w:p>
      <w:pPr>
        <w:numPr>
          <w:ilvl w:val="7"/>
          <w:numId w:val="13"/>
        </w:numPr>
        <w:overflowPunct/>
        <w:autoSpaceDE/>
        <w:autoSpaceDN/>
        <w:adjustRightInd/>
        <w:spacing w:after="0" w:line="240" w:lineRule="auto"/>
        <w:ind w:left="6480"/>
        <w:contextualSpacing/>
        <w:textAlignment w:val="baseline"/>
        <w:rPr>
          <w:rFonts w:ascii="Times" w:hAnsi="Times" w:eastAsia="Batang"/>
          <w:szCs w:val="24"/>
          <w:lang w:eastAsia="en-GB"/>
        </w:rPr>
      </w:pPr>
      <w:r>
        <w:rPr>
          <w:rFonts w:ascii="Times" w:hAnsi="Times" w:eastAsia="Batang"/>
          <w:szCs w:val="24"/>
          <w:lang w:eastAsia="en-GB"/>
        </w:rPr>
        <w:t>All search space configurations monitored on sSCell for cross-carrier scheduling to P(S)Cell are within a single span of 3 consecutive OFDM symbols within a duration spanning P(S)Cell slot</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 separate </w:t>
      </w:r>
      <m:oMath>
        <m:r>
          <m:rPr/>
          <w:rPr>
            <w:rFonts w:ascii="Cambria Math" w:hAnsi="Cambria Math" w:eastAsia="Times New Roman"/>
            <w:lang w:eastAsia="en-GB"/>
          </w:rPr>
          <m:t>α</m:t>
        </m:r>
      </m:oMath>
      <w:r>
        <w:rPr>
          <w:rFonts w:ascii="Times" w:hAnsi="Times" w:eastAsia="DengXian"/>
          <w:szCs w:val="24"/>
          <w:lang w:eastAsia="en-GB"/>
        </w:rPr>
        <w:t xml:space="preserve"> and  </w:t>
      </w:r>
      <m:oMath>
        <m:r>
          <m:rPr/>
          <w:rPr>
            <w:rFonts w:ascii="Cambria Math" w:hAnsi="Cambria Math" w:eastAsia="Times New Roman"/>
            <w:lang w:eastAsia="en-GB"/>
          </w:rPr>
          <m:t xml:space="preserve">β </m:t>
        </m:r>
      </m:oMath>
      <w:r>
        <w:rPr>
          <w:rFonts w:ascii="Times" w:hAnsi="Times" w:eastAsia="DengXian"/>
          <w:szCs w:val="24"/>
          <w:lang w:eastAsia="en-GB"/>
        </w:rPr>
        <w:t xml:space="preserve"> are configured by RRC or if </w:t>
      </w:r>
      <m:oMath>
        <m:r>
          <m:rPr/>
          <w:rPr>
            <w:rFonts w:ascii="Cambria Math" w:hAnsi="Cambria Math" w:eastAsia="Times New Roman"/>
            <w:lang w:eastAsia="en-GB"/>
          </w:rPr>
          <m:t>β=1−α</m:t>
        </m:r>
      </m:oMath>
      <w:r>
        <w:rPr>
          <w:rFonts w:ascii="Times" w:hAnsi="Times" w:eastAsia="DengXian"/>
          <w:szCs w:val="24"/>
          <w:lang w:eastAsia="en-GB"/>
        </w:rPr>
        <w:t xml:space="preserve"> and only  </w:t>
      </w:r>
      <m:oMath>
        <m:r>
          <m:rPr/>
          <w:rPr>
            <w:rFonts w:ascii="Cambria Math" w:hAnsi="Cambria Math" w:eastAsia="Times New Roman"/>
            <w:lang w:eastAsia="en-GB"/>
          </w:rPr>
          <m:t>α</m:t>
        </m:r>
      </m:oMath>
      <w:r>
        <w:rPr>
          <w:rFonts w:ascii="Times" w:hAnsi="Times" w:eastAsia="DengXian"/>
          <w:szCs w:val="24"/>
          <w:lang w:eastAsia="en-GB"/>
        </w:rPr>
        <w:t xml:space="preserve"> is configured</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Batang"/>
          <w:color w:val="4472C4"/>
          <w:szCs w:val="24"/>
          <w:lang w:eastAsia="en-GB"/>
        </w:rPr>
        <w:t>[based on Option C]</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Batang"/>
          <w:color w:val="4472C4"/>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s1∗M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max,slot,μ</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total,slot,μ</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r>
          <m:rPr>
            <m:sty m:val="p"/>
          </m:rPr>
          <w:rPr>
            <w:rFonts w:ascii="Cambria Math" w:hAnsi="Cambria Math" w:eastAsia="DengXian"/>
            <w:color w:val="4472C4"/>
            <w:lang w:eastAsia="en-GB"/>
          </w:rPr>
          <m:t xml:space="preserve"> </m:t>
        </m:r>
      </m:oMath>
      <w:r>
        <w:rPr>
          <w:rFonts w:ascii="Times" w:hAnsi="Times" w:eastAsia="DengXian"/>
          <w:color w:val="4472C4"/>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DengXian"/>
          <w:color w:val="4472C4"/>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s2∗M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max,slot,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total,slot,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oMath>
      <w:r>
        <w:rPr>
          <w:rFonts w:ascii="Times" w:hAnsi="Times" w:eastAsia="DengXian"/>
          <w:color w:val="4472C4"/>
          <w:szCs w:val="24"/>
          <w:lang w:eastAsia="en-GB"/>
        </w:rPr>
        <w:t xml:space="preserve"> PDCCH BD candidates per sSCell slot</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When determining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m:t>
            </m:r>
            <m:ctrlPr>
              <w:rPr>
                <w:rFonts w:ascii="Cambria Math" w:hAnsi="Cambria Math" w:eastAsia="Times New Roman"/>
                <w:color w:val="4472C4"/>
                <w:lang w:eastAsia="zh-CN"/>
              </w:rPr>
            </m:ctrlPr>
          </m:sup>
        </m:sSubSup>
      </m:oMath>
      <w:r>
        <w:rPr>
          <w:rFonts w:ascii="Times" w:hAnsi="Times" w:eastAsia="Batang"/>
          <w:color w:val="4472C4"/>
          <w:szCs w:val="24"/>
          <w:lang w:eastAsia="zh-CN"/>
        </w:rPr>
        <w:t xml:space="preserve"> and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μ1</m:t>
            </m:r>
            <m:ctrlPr>
              <w:rPr>
                <w:rFonts w:ascii="Cambria Math" w:hAnsi="Cambria Math" w:eastAsia="Times New Roman"/>
                <w:color w:val="4472C4"/>
                <w:lang w:eastAsia="zh-CN"/>
              </w:rPr>
            </m:ctrlPr>
          </m:sup>
        </m:sSubSup>
      </m:oMath>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P(S)Cell self-scheduling is counted by applying scaling factor s1, </w:t>
      </w:r>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sSCell to PCell scheduling is counted additionally (assuming SCS of sSCell) by applying scaling factor s2</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m:oMath>
        <m:r>
          <m:rPr>
            <m:sty m:val="p"/>
          </m:rPr>
          <w:rPr>
            <w:rFonts w:ascii="Cambria Math" w:hAnsi="Cambria Math" w:eastAsia="Times New Roman"/>
            <w:color w:val="4472C4"/>
            <w:lang w:eastAsia="en-GB"/>
          </w:rPr>
          <m:t>0≤s1≤1</m:t>
        </m:r>
      </m:oMath>
      <w:r>
        <w:rPr>
          <w:rFonts w:ascii="Times" w:hAnsi="Times" w:eastAsia="Batang"/>
          <w:color w:val="4472C4"/>
          <w:szCs w:val="24"/>
          <w:lang w:eastAsia="en-GB"/>
        </w:rPr>
        <w:t xml:space="preserve">  and </w:t>
      </w:r>
      <m:oMath>
        <m:r>
          <m:rPr>
            <m:sty m:val="p"/>
          </m:rPr>
          <w:rPr>
            <w:rFonts w:ascii="Cambria Math" w:hAnsi="Cambria Math" w:eastAsia="Times New Roman"/>
            <w:color w:val="4472C4"/>
            <w:lang w:eastAsia="en-GB"/>
          </w:rPr>
          <m:t>0≤s2≤1</m:t>
        </m:r>
      </m:oMath>
      <w:r>
        <w:rPr>
          <w:rFonts w:ascii="Times" w:hAnsi="Times" w:eastAsia="Batang"/>
          <w:color w:val="4472C4"/>
          <w:szCs w:val="24"/>
          <w:lang w:eastAsia="en-GB"/>
        </w:rPr>
        <w:t xml:space="preserve">   </w:t>
      </w:r>
    </w:p>
    <w:p>
      <w:pPr>
        <w:numPr>
          <w:ilvl w:val="2"/>
          <w:numId w:val="13"/>
        </w:numPr>
        <w:overflowPunct/>
        <w:autoSpaceDE/>
        <w:autoSpaceDN/>
        <w:adjustRightInd/>
        <w:spacing w:after="160" w:line="259" w:lineRule="auto"/>
        <w:ind w:left="2880"/>
        <w:contextualSpacing/>
        <w:textAlignment w:val="baseline"/>
        <w:rPr>
          <w:rFonts w:ascii="Times" w:hAnsi="Times" w:eastAsia="DengXian"/>
          <w:color w:val="4472C4"/>
          <w:szCs w:val="24"/>
          <w:lang w:eastAsia="en-GB"/>
        </w:rPr>
      </w:pPr>
      <w:r>
        <w:rPr>
          <w:rFonts w:ascii="Times" w:hAnsi="Times" w:eastAsia="Batang"/>
          <w:color w:val="4472C4"/>
          <w:szCs w:val="24"/>
          <w:lang w:eastAsia="en-GB"/>
        </w:rPr>
        <w:t>FFS the following</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DengXian"/>
          <w:color w:val="4472C4"/>
          <w:szCs w:val="24"/>
          <w:lang w:eastAsia="en-GB"/>
        </w:rPr>
        <w:t>Allowed combinations of s1 and s2 , and whether they are fixed or configured via RRC</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overflowPunct/>
        <w:autoSpaceDE/>
        <w:autoSpaceDN/>
        <w:adjustRightInd/>
        <w:spacing w:after="160" w:line="259" w:lineRule="auto"/>
        <w:ind w:left="3600"/>
        <w:contextualSpacing/>
        <w:textAlignment w:val="baseline"/>
        <w:rPr>
          <w:rFonts w:ascii="Times" w:hAnsi="Times" w:eastAsia="DengXian"/>
          <w:color w:val="4472C4"/>
          <w:szCs w:val="24"/>
          <w:lang w:eastAsia="en-GB"/>
        </w:rPr>
      </w:pPr>
    </w:p>
    <w:p>
      <w:pPr>
        <w:numPr>
          <w:ilvl w:val="0"/>
          <w:numId w:val="13"/>
        </w:numPr>
        <w:overflowPunct/>
        <w:autoSpaceDE/>
        <w:autoSpaceDN/>
        <w:adjustRightInd/>
        <w:spacing w:after="160" w:line="259" w:lineRule="auto"/>
        <w:ind w:left="144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FFS the following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Multi-TRP handling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PDCCH BD handling when monitoringCapabilityConfig = r16monitoringcapability is configured for any cell</w:t>
      </w:r>
    </w:p>
    <w:p>
      <w:pPr>
        <w:spacing w:line="240" w:lineRule="auto"/>
        <w:ind w:left="720"/>
        <w:textAlignment w:val="baseline"/>
        <w:rPr>
          <w:rFonts w:eastAsia="Times New Roman"/>
          <w:lang w:val="en-US" w:eastAsia="zh-CN"/>
        </w:rPr>
      </w:pP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numPr>
          <w:ilvl w:val="0"/>
          <w:numId w:val="15"/>
        </w:numPr>
        <w:overflowPunct/>
        <w:autoSpaceDE/>
        <w:autoSpaceDN/>
        <w:adjustRightInd/>
        <w:spacing w:after="0" w:line="240" w:lineRule="auto"/>
        <w:ind w:left="1080"/>
        <w:contextualSpacing/>
        <w:textAlignment w:val="baseline"/>
        <w:rPr>
          <w:rFonts w:ascii="Times" w:hAnsi="Times" w:eastAsia="Batang" w:cs="Times"/>
          <w:szCs w:val="24"/>
          <w:lang w:val="en-US" w:eastAsia="zh-CN"/>
        </w:rPr>
      </w:pPr>
      <w:r>
        <w:rPr>
          <w:rFonts w:ascii="Times" w:hAnsi="Times" w:eastAsia="DengXian" w:cs="Times"/>
          <w:szCs w:val="24"/>
          <w:lang w:val="en-US" w:eastAsia="zh-CN"/>
        </w:rPr>
        <w:t>Endorse below TP to 38.300 from RAN1 perspective</w:t>
      </w:r>
    </w:p>
    <w:p>
      <w:pPr>
        <w:numPr>
          <w:ilvl w:val="0"/>
          <w:numId w:val="15"/>
        </w:numPr>
        <w:overflowPunct/>
        <w:autoSpaceDE/>
        <w:autoSpaceDN/>
        <w:adjustRightInd/>
        <w:spacing w:after="0" w:line="240" w:lineRule="auto"/>
        <w:ind w:left="1080"/>
        <w:contextualSpacing/>
        <w:textAlignment w:val="baseline"/>
        <w:rPr>
          <w:rFonts w:ascii="Times" w:hAnsi="Times" w:eastAsia="DengXian" w:cs="Times"/>
          <w:szCs w:val="24"/>
          <w:lang w:val="en-US" w:eastAsia="zh-CN"/>
        </w:rPr>
      </w:pPr>
      <w:r>
        <w:rPr>
          <w:rFonts w:ascii="Times" w:hAnsi="Times" w:eastAsia="DengXian" w:cs="Times"/>
          <w:szCs w:val="24"/>
          <w:lang w:val="en-US" w:eastAsia="zh-CN"/>
        </w:rPr>
        <w:t>Send LS to RAN2 with the TP and list of RAN1 agreements, to update</w:t>
      </w:r>
      <w:r>
        <w:rPr>
          <w:rFonts w:ascii="Times" w:hAnsi="Times" w:eastAsia="DengXian" w:cs="Times"/>
          <w:szCs w:val="24"/>
          <w:lang w:eastAsia="zh-CN"/>
        </w:rPr>
        <w:t xml:space="preserve"> Stage 2 spec are needed to reflect the RAN1 agreements</w:t>
      </w:r>
    </w:p>
    <w:p>
      <w:pPr>
        <w:spacing w:after="0" w:line="240" w:lineRule="auto"/>
        <w:ind w:left="1080"/>
        <w:contextualSpacing/>
        <w:textAlignment w:val="baseline"/>
        <w:rPr>
          <w:rFonts w:ascii="Times" w:hAnsi="Times" w:eastAsia="DengXian" w:cs="Times"/>
          <w:szCs w:val="24"/>
          <w:lang w:val="en-US" w:eastAsia="zh-CN"/>
        </w:rPr>
      </w:pP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start TP1 for 38.300 v.xyz -------------------------------------------</w:t>
      </w:r>
    </w:p>
    <w:p>
      <w:pPr>
        <w:overflowPunct/>
        <w:autoSpaceDE/>
        <w:autoSpaceDN/>
        <w:adjustRightInd/>
        <w:spacing w:after="0" w:line="240" w:lineRule="auto"/>
        <w:ind w:left="720"/>
        <w:textAlignment w:val="baseline"/>
        <w:rPr>
          <w:rFonts w:ascii="Arial" w:hAnsi="Arial" w:eastAsia="Calibri" w:cs="Arial"/>
          <w:sz w:val="32"/>
          <w:szCs w:val="32"/>
          <w:lang w:val="zh-CN" w:eastAsia="en-GB"/>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overflowPunct/>
        <w:autoSpaceDE/>
        <w:autoSpaceDN/>
        <w:adjustRightInd/>
        <w:spacing w:after="0" w:line="240" w:lineRule="auto"/>
        <w:ind w:left="720"/>
        <w:textAlignment w:val="baseline"/>
        <w:rPr>
          <w:rFonts w:ascii="Calibri" w:hAnsi="Calibri" w:eastAsia="Times New Roman" w:cs="Calibri"/>
          <w:szCs w:val="24"/>
          <w:lang w:eastAsia="ja-JP"/>
        </w:rPr>
      </w:pPr>
      <w:r>
        <w:rPr>
          <w:rFonts w:ascii="Times" w:hAnsi="Times" w:eastAsia="Times New Roman"/>
          <w:szCs w:val="24"/>
          <w:lang w:eastAsia="ja-JP"/>
        </w:rPr>
        <w:t>Cross-carrier scheduling with the Carrier Indicator Field (CIF) allows the PDCCH of a serving cell to schedule resources on another serving cell but with the following restrictions:</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trike/>
          <w:szCs w:val="24"/>
          <w:lang w:val="en-US" w:eastAsia="en-GB"/>
        </w:rPr>
        <w:t>Cross-carrier scheduling does not apply to Pcell i.e</w:t>
      </w:r>
      <w:r>
        <w:rPr>
          <w:rFonts w:ascii="Times" w:hAnsi="Times" w:eastAsia="Times New Roman"/>
          <w:szCs w:val="24"/>
          <w:lang w:val="en-US" w:eastAsia="en-GB"/>
        </w:rPr>
        <w:t xml:space="preserve">. </w:t>
      </w:r>
      <w:r>
        <w:rPr>
          <w:rFonts w:ascii="Times" w:hAnsi="Times" w:eastAsia="Times New Roman"/>
          <w:color w:val="C00000"/>
          <w:szCs w:val="24"/>
          <w:lang w:val="en-US" w:eastAsia="zh-CN"/>
        </w:rPr>
        <w:t>When cross-carrier scheduling from an SCell to Pcell is not configured,</w:t>
      </w:r>
      <w:r>
        <w:rPr>
          <w:rFonts w:ascii="Times" w:hAnsi="Times" w:eastAsia="Times New Roman"/>
          <w:color w:val="FF0000"/>
          <w:szCs w:val="24"/>
          <w:u w:val="single"/>
          <w:lang w:val="en-US" w:eastAsia="zh-CN"/>
        </w:rPr>
        <w:t xml:space="preserve"> </w:t>
      </w:r>
      <w:r>
        <w:rPr>
          <w:rFonts w:ascii="Times" w:hAnsi="Times" w:eastAsia="Times New Roman"/>
          <w:szCs w:val="24"/>
          <w:lang w:val="en-US" w:eastAsia="en-GB"/>
        </w:rPr>
        <w:t xml:space="preserve">Pcell </w:t>
      </w:r>
      <w:r>
        <w:rPr>
          <w:rFonts w:ascii="Times" w:hAnsi="Times" w:eastAsia="Times New Roman"/>
          <w:color w:val="C00000"/>
          <w:szCs w:val="24"/>
          <w:lang w:val="en-US" w:eastAsia="en-GB"/>
        </w:rPr>
        <w:t xml:space="preserve">can only be </w:t>
      </w:r>
      <w:r>
        <w:rPr>
          <w:rFonts w:ascii="Times" w:hAnsi="Times" w:eastAsia="Times New Roman"/>
          <w:strike/>
          <w:szCs w:val="24"/>
          <w:lang w:val="en-US" w:eastAsia="en-GB"/>
        </w:rPr>
        <w:t>is always</w:t>
      </w:r>
      <w:r>
        <w:rPr>
          <w:rFonts w:ascii="Times" w:hAnsi="Times" w:eastAsia="Times New Roman"/>
          <w:szCs w:val="24"/>
          <w:lang w:val="en-US" w:eastAsia="en-GB"/>
        </w:rPr>
        <w:t xml:space="preserve"> scheduled via its PDCCH;</w:t>
      </w:r>
    </w:p>
    <w:p>
      <w:pPr>
        <w:overflowPunct/>
        <w:autoSpaceDE/>
        <w:autoSpaceDN/>
        <w:adjustRightInd/>
        <w:spacing w:after="0" w:line="240" w:lineRule="auto"/>
        <w:ind w:left="720"/>
        <w:textAlignment w:val="baseline"/>
        <w:rPr>
          <w:rFonts w:ascii="Times" w:hAnsi="Times" w:eastAsia="Times New Roman"/>
          <w:color w:val="C00000"/>
          <w:szCs w:val="24"/>
          <w:lang w:val="en-US" w:eastAsia="zh-CN"/>
        </w:rPr>
      </w:pPr>
      <w:r>
        <w:rPr>
          <w:rFonts w:ascii="Times" w:hAnsi="Times" w:eastAsia="Times New Roman"/>
          <w:color w:val="FF0000"/>
          <w:szCs w:val="24"/>
          <w:lang w:val="en-US" w:eastAsia="zh-CN"/>
        </w:rPr>
        <w:t>-</w:t>
      </w:r>
      <w:r>
        <w:rPr>
          <w:rFonts w:ascii="Times" w:hAnsi="Times" w:eastAsia="Times New Roman"/>
          <w:color w:val="FF0000"/>
          <w:szCs w:val="24"/>
          <w:lang w:val="en-US" w:eastAsia="zh-CN"/>
        </w:rPr>
        <w:tab/>
      </w:r>
      <w:r>
        <w:rPr>
          <w:rFonts w:ascii="Times" w:hAnsi="Times" w:eastAsia="Times New Roman"/>
          <w:color w:val="C00000"/>
          <w:szCs w:val="24"/>
          <w:lang w:val="en-US" w:eastAsia="zh-CN"/>
        </w:rPr>
        <w:t xml:space="preserve">When cross-carrier scheduling from an SCell to Pcell is configured, </w:t>
      </w:r>
      <w:r>
        <w:rPr>
          <w:rFonts w:ascii="Times" w:hAnsi="Times" w:eastAsia="Times New Roman"/>
          <w:color w:val="7030A0"/>
          <w:szCs w:val="24"/>
          <w:lang w:val="en-US" w:eastAsia="en-GB"/>
        </w:rPr>
        <w:t xml:space="preserve">PDCCH on that SCell can schedule Pcell’s PDSCH and PUSCH, and PDCCH on the Pcell can also schedule Pcell’s PDSCH and PUSCH, </w:t>
      </w:r>
      <w:r>
        <w:rPr>
          <w:rFonts w:ascii="Times" w:hAnsi="Times" w:eastAsia="Times New Roman"/>
          <w:color w:val="C00000"/>
          <w:szCs w:val="24"/>
          <w:lang w:val="en-US" w:eastAsia="en-GB"/>
        </w:rPr>
        <w:t>and PDCCH on Pcell cannot schedule PDSCH and PUSCH on any other cell. Only one SCell can be configured to be used for cross-carrier scheduling to Pcell;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configured with a PDCCH, that cell’s PDSCH and PUSCH are always scheduled by the PDCCH on this SCell;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not configured with a PDCCH, that SCell’s PDSCH and PUSCH are always scheduled by a PDCCH on another serving 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The scheduling PDCCH and the scheduled PDSCH/PUSCH can use the same or different numerologies.</w:t>
      </w: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end TP1 -----------------------------------------------</w:t>
      </w:r>
    </w:p>
    <w:p>
      <w:pPr>
        <w:overflowPunct/>
        <w:autoSpaceDE/>
        <w:autoSpaceDN/>
        <w:adjustRightInd/>
        <w:spacing w:after="0" w:line="240" w:lineRule="auto"/>
        <w:ind w:left="720"/>
        <w:rPr>
          <w:rFonts w:eastAsia="Times New Roman"/>
          <w:lang w:eastAsia="en-GB"/>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Draft LS </w:t>
      </w:r>
      <w:r>
        <w:fldChar w:fldCharType="begin"/>
      </w:r>
      <w:r>
        <w:instrText xml:space="preserve"> HYPERLINK "file:///C:\\Users\\Docs\\R1-2108576.zip" </w:instrText>
      </w:r>
      <w:r>
        <w:fldChar w:fldCharType="separate"/>
      </w:r>
      <w:r>
        <w:rPr>
          <w:rFonts w:ascii="Times" w:hAnsi="Times" w:eastAsia="Batang"/>
          <w:color w:val="0000FF"/>
          <w:szCs w:val="24"/>
          <w:highlight w:val="green"/>
          <w:u w:val="single"/>
        </w:rPr>
        <w:t>R1-2108576</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 in principle</w:t>
      </w:r>
    </w:p>
    <w:p>
      <w:pPr>
        <w:overflowPunct/>
        <w:autoSpaceDE/>
        <w:autoSpaceDN/>
        <w:adjustRightInd/>
        <w:spacing w:after="0" w:line="240" w:lineRule="auto"/>
        <w:ind w:left="720"/>
        <w:rPr>
          <w:rFonts w:ascii="Times" w:hAnsi="Times" w:eastAsia="Batang"/>
          <w:szCs w:val="24"/>
          <w:highlight w:val="green"/>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 xml:space="preserve">Final LS </w:t>
      </w:r>
      <w:r>
        <w:fldChar w:fldCharType="begin"/>
      </w:r>
      <w:r>
        <w:instrText xml:space="preserve"> HYPERLINK "file:///C:\\Users\\Docs\\R1-2108662.zip" </w:instrText>
      </w:r>
      <w:r>
        <w:fldChar w:fldCharType="separate"/>
      </w:r>
      <w:r>
        <w:rPr>
          <w:rFonts w:ascii="Times" w:hAnsi="Times" w:eastAsia="Batang"/>
          <w:color w:val="0000FF"/>
          <w:szCs w:val="24"/>
          <w:highlight w:val="green"/>
          <w:u w:val="single"/>
        </w:rPr>
        <w:t>R1-2108662</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Mincho">
    <w:altName w:val="Droid Sans Fallback"/>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mbria Math">
    <w:altName w:val="DejaVu Math TeX Gyre"/>
    <w:panose1 w:val="02040503050406030204"/>
    <w:charset w:val="00"/>
    <w:family w:val="roman"/>
    <w:pitch w:val="default"/>
    <w:sig w:usb0="00000000" w:usb1="00000000" w:usb2="02000000" w:usb3="00000000" w:csb0="0000019F" w:csb1="00000000"/>
  </w:font>
  <w:font w:name="DengXian">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DejaVu Math TeX Gyre">
    <w:panose1 w:val="02000503000000000000"/>
    <w:charset w:val="00"/>
    <w:family w:val="auto"/>
    <w:pitch w:val="default"/>
    <w:sig w:usb0="A10000EF" w:usb1="4201F9EE" w:usb2="02000000" w:usb3="00000000" w:csb0="60000193" w:csb1="0DD4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Ani">
    <w:panose1 w:val="00000000000000000000"/>
    <w:charset w:val="00"/>
    <w:family w:val="auto"/>
    <w:pitch w:val="default"/>
    <w:sig w:usb0="00010001" w:usb1="00000000" w:usb2="00000000" w:usb3="00000000" w:csb0="0000009F" w:csb1="DFD7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16</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41</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AF6C"/>
    <w:multiLevelType w:val="singleLevel"/>
    <w:tmpl w:val="A26FAF6C"/>
    <w:lvl w:ilvl="0" w:tentative="0">
      <w:start w:val="1"/>
      <w:numFmt w:val="decimal"/>
      <w:suff w:val="space"/>
      <w:lvlText w:val="%1)"/>
      <w:lvlJc w:val="left"/>
    </w:lvl>
  </w:abstractNum>
  <w:abstractNum w:abstractNumId="1">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13">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3"/>
  </w:num>
  <w:num w:numId="8">
    <w:abstractNumId w:val="11"/>
  </w:num>
  <w:num w:numId="9">
    <w:abstractNumId w:val="13"/>
  </w:num>
  <w:num w:numId="10">
    <w:abstractNumId w:val="1"/>
  </w:num>
  <w:num w:numId="11">
    <w:abstractNumId w:val="8"/>
  </w:num>
  <w:num w:numId="12">
    <w:abstractNumId w:val="2"/>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7"/>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37A"/>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038"/>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20D"/>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1D61"/>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6E14"/>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BA6"/>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AAE"/>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6D"/>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5C9"/>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04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A25"/>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17987"/>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68A"/>
    <w:rsid w:val="00BB0BD4"/>
    <w:rsid w:val="00BB1D1C"/>
    <w:rsid w:val="00BB2839"/>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157"/>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0843"/>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1D5"/>
    <w:rsid w:val="00EB59AE"/>
    <w:rsid w:val="00EB617C"/>
    <w:rsid w:val="00EB65CA"/>
    <w:rsid w:val="00EB7AC1"/>
    <w:rsid w:val="00EC01FB"/>
    <w:rsid w:val="00EC0BB1"/>
    <w:rsid w:val="00EC0BF1"/>
    <w:rsid w:val="00EC0E03"/>
    <w:rsid w:val="00EC1184"/>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 w:val="AFF700A4"/>
    <w:rsid w:val="BFE6B1FA"/>
    <w:rsid w:val="E79FE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textAlignment w:val="baseline"/>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textAlignment w:val="baseline"/>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textAlignment w:val="baseline"/>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textAlignment w:val="baseline"/>
    </w:pPr>
    <w:rPr>
      <w:rFonts w:eastAsia="KaiTi_GB2312"/>
      <w:sz w:val="24"/>
    </w:rPr>
  </w:style>
  <w:style w:type="paragraph" w:styleId="11">
    <w:name w:val="caption"/>
    <w:basedOn w:val="1"/>
    <w:next w:val="1"/>
    <w:link w:val="52"/>
    <w:qFormat/>
    <w:uiPriority w:val="0"/>
    <w:pPr>
      <w:spacing w:before="120" w:after="120" w:line="240" w:lineRule="auto"/>
      <w:textAlignment w:val="baseline"/>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textAlignment w:val="baseline"/>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textAlignment w:val="baseline"/>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Footer Char"/>
    <w:basedOn w:val="6"/>
    <w:link w:val="20"/>
    <w:qFormat/>
    <w:uiPriority w:val="99"/>
    <w:rPr>
      <w:rFonts w:ascii="Arial" w:hAnsi="Arial" w:eastAsia="SimSun" w:cs="Times New Roman"/>
      <w:b/>
      <w:i/>
      <w:sz w:val="18"/>
      <w:szCs w:val="20"/>
    </w:rPr>
  </w:style>
  <w:style w:type="character" w:customStyle="1" w:styleId="31">
    <w:name w:val="Heading 1 Char1"/>
    <w:link w:val="2"/>
    <w:qFormat/>
    <w:uiPriority w:val="0"/>
    <w:rPr>
      <w:rFonts w:ascii="Arial" w:hAnsi="Arial" w:eastAsia="SimSun" w:cs="Times New Roman"/>
      <w:sz w:val="36"/>
      <w:szCs w:val="20"/>
      <w:lang w:val="en-GB" w:eastAsia="en-US"/>
    </w:rPr>
  </w:style>
  <w:style w:type="character" w:customStyle="1" w:styleId="32">
    <w:name w:val="Header Char"/>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textAlignment w:val="baseline"/>
    </w:pPr>
  </w:style>
  <w:style w:type="character" w:customStyle="1" w:styleId="34">
    <w:name w:val="Heading 2 Char"/>
    <w:basedOn w:val="6"/>
    <w:link w:val="3"/>
    <w:qFormat/>
    <w:uiPriority w:val="0"/>
    <w:rPr>
      <w:rFonts w:ascii="Arial" w:hAnsi="Arial" w:eastAsia="SimSun" w:cs="Arial"/>
      <w:sz w:val="28"/>
      <w:szCs w:val="28"/>
    </w:rPr>
  </w:style>
  <w:style w:type="character" w:customStyle="1" w:styleId="35">
    <w:name w:val="Balloon Text Char"/>
    <w:basedOn w:val="6"/>
    <w:link w:val="8"/>
    <w:semiHidden/>
    <w:qFormat/>
    <w:uiPriority w:val="99"/>
    <w:rPr>
      <w:rFonts w:ascii="Segoe UI" w:hAnsi="Segoe UI" w:eastAsia="SimSun" w:cs="Segoe UI"/>
      <w:sz w:val="18"/>
      <w:szCs w:val="18"/>
      <w:lang w:val="en-GB" w:eastAsia="en-US"/>
    </w:rPr>
  </w:style>
  <w:style w:type="character" w:customStyle="1" w:styleId="36">
    <w:name w:val="List Paragraph Char"/>
    <w:link w:val="33"/>
    <w:qFormat/>
    <w:uiPriority w:val="34"/>
    <w:rPr>
      <w:rFonts w:ascii="Times New Roman" w:hAnsi="Times New Roman" w:eastAsia="SimSun" w:cs="Times New Roman"/>
      <w:sz w:val="20"/>
      <w:szCs w:val="20"/>
      <w:lang w:val="en-GB" w:eastAsia="en-US"/>
    </w:rPr>
  </w:style>
  <w:style w:type="character" w:customStyle="1" w:styleId="37">
    <w:name w:val="Heading 3 Char"/>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Body Text Char"/>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pPr>
    <w:rPr>
      <w:rFonts w:ascii="Arial" w:hAnsi="Arial" w:eastAsia="Malgun Gothic" w:cs="Batang"/>
      <w:u w:val="single"/>
      <w:lang w:val="en-US"/>
    </w:rPr>
  </w:style>
  <w:style w:type="character" w:customStyle="1" w:styleId="43">
    <w:name w:val="Style1 Char"/>
    <w:basedOn w:val="6"/>
    <w:link w:val="42"/>
    <w:qFormat/>
    <w:uiPriority w:val="0"/>
    <w:rPr>
      <w:rFonts w:ascii="Arial" w:hAnsi="Arial" w:eastAsia="Malgun Gothic" w:cs="Batang"/>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Document Map Char"/>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pPr>
    <w:rPr>
      <w:rFonts w:ascii="Arial" w:hAnsi="Arial" w:cs="Arial" w:eastAsiaTheme="minorHAnsi"/>
      <w:b/>
      <w:bCs/>
      <w:lang w:val="en-US" w:eastAsia="en-GB"/>
    </w:rPr>
  </w:style>
  <w:style w:type="character" w:customStyle="1" w:styleId="47">
    <w:name w:val="Heading 4 Char"/>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sz w:val="22"/>
      <w:szCs w:val="22"/>
      <w:lang w:eastAsia="zh-CN"/>
    </w:rPr>
  </w:style>
  <w:style w:type="paragraph" w:customStyle="1" w:styleId="51">
    <w:name w:val="ComeBack"/>
    <w:basedOn w:val="1"/>
    <w:link w:val="50"/>
    <w:qFormat/>
    <w:uiPriority w:val="0"/>
    <w:pPr>
      <w:numPr>
        <w:ilvl w:val="0"/>
        <w:numId w:val="2"/>
      </w:numPr>
      <w:overflowPunct/>
      <w:autoSpaceDE/>
      <w:autoSpaceDN/>
      <w:adjustRightInd/>
      <w:spacing w:after="0"/>
    </w:pPr>
    <w:rPr>
      <w:rFonts w:ascii="Arial" w:hAnsi="Arial" w:cs="Arial" w:eastAsiaTheme="minorEastAsia"/>
      <w:sz w:val="22"/>
      <w:szCs w:val="22"/>
      <w:lang w:val="en-US" w:eastAsia="zh-CN"/>
    </w:rPr>
  </w:style>
  <w:style w:type="character" w:customStyle="1" w:styleId="52">
    <w:name w:val="Caption Char"/>
    <w:link w:val="11"/>
    <w:qFormat/>
    <w:uiPriority w:val="0"/>
    <w:rPr>
      <w:lang w:val="en-GB" w:eastAsia="en-US"/>
    </w:rPr>
  </w:style>
  <w:style w:type="character" w:customStyle="1" w:styleId="53">
    <w:name w:val="Endnote Text Char"/>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Footnote Text Char"/>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Comment Text Char"/>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Comment Subject Char"/>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Body Text Indent Char"/>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3135</Words>
  <Characters>17876</Characters>
  <Lines>148</Lines>
  <Paragraphs>41</Paragraphs>
  <TotalTime>0</TotalTime>
  <ScaleCrop>false</ScaleCrop>
  <LinksUpToDate>false</LinksUpToDate>
  <CharactersWithSpaces>20970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2021-09-01T22:01:00Z</dcterms:created>
  <dcterms:modified xsi:type="dcterms:W3CDTF">2021-09-02T17:38:33Z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