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2801C0">
            <w:pPr>
              <w:jc w:val="left"/>
              <w:rPr>
                <w:bCs/>
                <w:lang w:eastAsia="zh-CN"/>
              </w:rPr>
            </w:pPr>
            <w:r>
              <w:rPr>
                <w:bCs/>
                <w:lang w:eastAsia="zh-CN"/>
              </w:rPr>
              <w:t xml:space="preserve">For </w:t>
            </w:r>
            <w:r w:rsidRPr="001D1549">
              <w:rPr>
                <w:bCs/>
                <w:lang w:eastAsia="zh-CN"/>
              </w:rPr>
              <w:t>pucch-ConfigurationList-Multicast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 xml:space="preserve">PUCCH-ConfigurationList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 xml:space="preserve">PUCCH-ConfigurationList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PUCCH-ConfigurationList</w:t>
            </w:r>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PUCCH-ConfigurationList</w:t>
            </w:r>
            <w:r w:rsidRPr="0048049A">
              <w:t xml:space="preserve"> is not configured to UE for NACK-only based HARQ-ACK feedback for multicast.</w:t>
            </w:r>
          </w:p>
          <w:p w14:paraId="3C6D6C5A" w14:textId="1EE1A6FD" w:rsidR="004900DB" w:rsidRDefault="00B356EF" w:rsidP="002801C0">
            <w:pPr>
              <w:jc w:val="left"/>
              <w:rPr>
                <w:bCs/>
                <w:lang w:eastAsia="zh-CN"/>
              </w:rPr>
            </w:pPr>
            <w:r>
              <w:rPr>
                <w:bCs/>
                <w:lang w:eastAsia="zh-CN"/>
              </w:rPr>
              <w:t xml:space="preserve">For </w:t>
            </w:r>
            <w:r w:rsidRPr="00B356EF">
              <w:rPr>
                <w:bCs/>
                <w:lang w:eastAsia="zh-CN"/>
              </w:rPr>
              <w:t>harq-FeedbackEnabler-Multicast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GC-DCI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Pr>
                <w:bCs/>
                <w:lang w:eastAsia="zh-CN"/>
              </w:rPr>
              <w:t xml:space="preserve">For </w:t>
            </w:r>
            <w:r w:rsidRPr="001D1549">
              <w:rPr>
                <w:bCs/>
                <w:lang w:eastAsia="zh-CN"/>
              </w:rPr>
              <w:t>pdsch-HARQ-ACK-CodebookList-Multicast</w:t>
            </w:r>
            <w:r>
              <w:rPr>
                <w:bCs/>
                <w:lang w:eastAsia="zh-CN"/>
              </w:rPr>
              <w:t xml:space="preserve"> and </w:t>
            </w:r>
            <w:r w:rsidRPr="001D1549">
              <w:rPr>
                <w:bCs/>
                <w:lang w:eastAsia="zh-CN"/>
              </w:rPr>
              <w:t>pdsch-HARQ-ACK-Codebook-Multicast</w:t>
            </w:r>
            <w:r>
              <w:rPr>
                <w:bCs/>
                <w:lang w:eastAsia="zh-CN"/>
              </w:rPr>
              <w: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r w:rsidRPr="00D16696">
              <w:rPr>
                <w:bCs/>
                <w:lang w:eastAsia="zh-CN"/>
              </w:rPr>
              <w:t>pdsch-AggregationFactor-Multicast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r w:rsidRPr="00837492">
              <w:rPr>
                <w:bCs/>
                <w:i/>
                <w:iCs/>
                <w:lang w:eastAsia="zh-CN"/>
              </w:rPr>
              <w:t>pdsch-AggregationFactor-Multicast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r w:rsidRPr="00837492">
              <w:rPr>
                <w:bCs/>
                <w:i/>
                <w:iCs/>
                <w:lang w:eastAsia="zh-CN"/>
              </w:rPr>
              <w:t>sps-Config-Multicast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r w:rsidRPr="00837492">
              <w:rPr>
                <w:bCs/>
                <w:i/>
                <w:iCs/>
                <w:lang w:eastAsia="zh-CN"/>
              </w:rPr>
              <w:t>pdsch-AggregationFactor</w:t>
            </w:r>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r w:rsidRPr="00837492">
              <w:rPr>
                <w:bCs/>
                <w:i/>
                <w:iCs/>
                <w:lang w:eastAsia="zh-CN"/>
              </w:rPr>
              <w:t>pdsch-AggregationFactor</w:t>
            </w:r>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b/>
                <w:bCs/>
                <w:i/>
                <w:iCs/>
                <w:color w:val="000000"/>
                <w:sz w:val="18"/>
                <w:szCs w:val="18"/>
                <w:lang w:val="en-GB"/>
              </w:rPr>
              <w:t>pdsch-AggregationFactor</w:t>
            </w:r>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2801C0">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GC-DCI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r w:rsidRPr="0069716B">
              <w:rPr>
                <w:bCs/>
                <w:i/>
                <w:lang w:eastAsia="zh-CN"/>
              </w:rPr>
              <w:t>pdsch-HARQ-ACK-Codebook/pdsch-HARQ-ACK-</w:t>
            </w:r>
            <w:r w:rsidRPr="0069716B">
              <w:rPr>
                <w:i/>
              </w:rPr>
              <w:t xml:space="preserve"> </w:t>
            </w:r>
            <w:r w:rsidRPr="0069716B">
              <w:rPr>
                <w:bCs/>
                <w:i/>
                <w:lang w:eastAsia="zh-CN"/>
              </w:rPr>
              <w:t>CodebookList</w:t>
            </w:r>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r w:rsidRPr="0069716B">
              <w:rPr>
                <w:bCs/>
                <w:i/>
                <w:lang w:eastAsia="zh-CN"/>
              </w:rPr>
              <w:t>pdsch-AggregationFactor-Multicast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r w:rsidR="00182C5B" w:rsidRPr="00354ECF">
              <w:rPr>
                <w:i/>
              </w:rPr>
              <w:t>pdsch-AggregationFactor</w:t>
            </w:r>
            <w:r w:rsidR="00182C5B">
              <w:t xml:space="preserve"> has been one existing parameter in SPS-Config</w:t>
            </w:r>
            <w:r w:rsidR="00354ECF">
              <w:t xml:space="preserve">. </w:t>
            </w:r>
            <w:bookmarkStart w:id="0" w:name="_GoBack"/>
            <w:bookmarkEnd w:id="0"/>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4B0F" w14:textId="77777777" w:rsidR="00380DF9" w:rsidRDefault="00380DF9">
      <w:r>
        <w:separator/>
      </w:r>
    </w:p>
  </w:endnote>
  <w:endnote w:type="continuationSeparator" w:id="0">
    <w:p w14:paraId="104AB0F7" w14:textId="77777777" w:rsidR="00380DF9" w:rsidRDefault="0038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354EC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4EC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7ECD" w14:textId="77777777" w:rsidR="00380DF9" w:rsidRDefault="00380DF9">
      <w:r>
        <w:separator/>
      </w:r>
    </w:p>
  </w:footnote>
  <w:footnote w:type="continuationSeparator" w:id="0">
    <w:p w14:paraId="635D38C4" w14:textId="77777777" w:rsidR="00380DF9" w:rsidRDefault="0038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961A8722-E98F-4BA1-92C7-43C97DEE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2</Pages>
  <Words>547</Words>
  <Characters>3118</Characters>
  <Application>Microsoft Office Word</Application>
  <DocSecurity>0</DocSecurity>
  <Lines>25</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9</cp:revision>
  <cp:lastPrinted>2014-11-07T12:38:00Z</cp:lastPrinted>
  <dcterms:created xsi:type="dcterms:W3CDTF">2021-09-01T17:54:00Z</dcterms:created>
  <dcterms:modified xsi:type="dcterms:W3CDTF">2021-09-03T04:23:00Z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1630571826</vt:lpwstr>
  </property>
</Properties>
</file>