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2A0DCDFB"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proofErr w:type="gramStart"/>
            <w:r>
              <w:t>Yes</w:t>
            </w:r>
            <w:proofErr w:type="gramEnd"/>
            <w:r>
              <w:t xml:space="preserve">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lastRenderedPageBreak/>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36020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proofErr w:type="gramStart"/>
            <w:r>
              <w:t>Yes</w:t>
            </w:r>
            <w:proofErr w:type="gramEnd"/>
            <w:r>
              <w:t xml:space="preserve"> with modifications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ListParagraph"/>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ListParagraph"/>
              <w:widowControl/>
              <w:numPr>
                <w:ilvl w:val="3"/>
                <w:numId w:val="11"/>
              </w:numPr>
              <w:overflowPunct/>
              <w:spacing w:before="0" w:after="0" w:line="240" w:lineRule="auto"/>
            </w:pPr>
            <w:r w:rsidRPr="006911A9">
              <w:rPr>
                <w:i/>
                <w:iCs/>
                <w:color w:val="FF0000"/>
              </w:rPr>
              <w:t>Signaling of explicit request</w:t>
            </w: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6BE55EB5"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proofErr w:type="gramStart"/>
            <w:r>
              <w:t>Yes</w:t>
            </w:r>
            <w:proofErr w:type="gramEnd"/>
            <w:r>
              <w:t xml:space="preserve">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proofErr w:type="gramStart"/>
            <w:r>
              <w:t>Yes</w:t>
            </w:r>
            <w:proofErr w:type="gramEnd"/>
            <w:r>
              <w:t xml:space="preserve"> with modifications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246AE678"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w:t>
            </w:r>
            <w:r w:rsidRPr="00360205">
              <w:rPr>
                <w:rFonts w:ascii="Calibri" w:eastAsiaTheme="minorEastAsia" w:hAnsi="Calibri" w:cs="Calibri"/>
                <w:i/>
                <w:color w:val="FF0000"/>
                <w:sz w:val="22"/>
              </w:rPr>
              <w:t xml:space="preserve">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3349A826"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proofErr w:type="gramStart"/>
            <w:r>
              <w:t>Yes</w:t>
            </w:r>
            <w:proofErr w:type="gramEnd"/>
            <w:r>
              <w:t xml:space="preserve">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ListParagraph"/>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lastRenderedPageBreak/>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w:t>
            </w:r>
            <w:proofErr w:type="gramStart"/>
            <w:r w:rsidRPr="00A91F2C">
              <w:rPr>
                <w:rFonts w:ascii="Calibri" w:eastAsiaTheme="minorEastAsia" w:hAnsi="Calibri" w:cs="Calibri"/>
                <w:i/>
                <w:szCs w:val="20"/>
              </w:rPr>
              <w:t>condition</w:t>
            </w:r>
            <w:proofErr w:type="gramEnd"/>
            <w:r w:rsidRPr="00A91F2C">
              <w:rPr>
                <w:rFonts w:ascii="Calibri" w:eastAsiaTheme="minorEastAsia" w:hAnsi="Calibri" w:cs="Calibri"/>
                <w:i/>
                <w:szCs w:val="20"/>
              </w:rPr>
              <w:t xml:space="preserve">(s)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ListParagraph"/>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ListParagraph"/>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360205" w14:paraId="1285FE00"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77777777" w:rsidR="00360205" w:rsidRDefault="00360205" w:rsidP="00360205"/>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77777777" w:rsidR="00360205" w:rsidRDefault="00360205" w:rsidP="00360205"/>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456D7C" w14:textId="77777777" w:rsidR="00360205" w:rsidRDefault="00360205" w:rsidP="00360205"/>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lastRenderedPageBreak/>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lastRenderedPageBreak/>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proofErr w:type="gramStart"/>
            <w:r>
              <w:t>Yes</w:t>
            </w:r>
            <w:proofErr w:type="gramEnd"/>
            <w:r>
              <w:t xml:space="preserve">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w:t>
            </w:r>
            <w:r>
              <w:rPr>
                <w:rFonts w:eastAsiaTheme="minorEastAsia"/>
                <w:bCs/>
                <w:iCs/>
                <w:lang w:eastAsia="ko-KR"/>
              </w:rPr>
              <w:lastRenderedPageBreak/>
              <w:t>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lastRenderedPageBreak/>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CDD3EA" w14:textId="77777777" w:rsidR="00360205" w:rsidRDefault="00360205" w:rsidP="0036020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ListParagraph"/>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 xml:space="preserve">is overlapping with PSFCH </w:t>
            </w:r>
            <w:r w:rsidRPr="008D66B7">
              <w:rPr>
                <w:rFonts w:ascii="Calibri" w:hAnsi="Calibri" w:cs="Calibri"/>
                <w:i/>
                <w:sz w:val="22"/>
              </w:rPr>
              <w:lastRenderedPageBreak/>
              <w:t>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w:t>
            </w:r>
            <w:r>
              <w:rPr>
                <w:rFonts w:ascii="Calibri" w:eastAsiaTheme="minorEastAsia" w:hAnsi="Calibri" w:cs="Calibri"/>
                <w:bCs/>
                <w:iCs/>
                <w:sz w:val="22"/>
                <w:szCs w:val="22"/>
                <w:lang w:eastAsia="ko-KR"/>
              </w:rPr>
              <w:lastRenderedPageBreak/>
              <w:t>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lastRenderedPageBreak/>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proofErr w:type="gramStart"/>
            <w:r>
              <w:t>Yes</w:t>
            </w:r>
            <w:proofErr w:type="gramEnd"/>
            <w:r>
              <w:t xml:space="preserve">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proofErr w:type="gramStart"/>
            <w:r>
              <w:t>Yes</w:t>
            </w:r>
            <w:proofErr w:type="gramEnd"/>
            <w: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w:t>
      </w:r>
      <w:r>
        <w:rPr>
          <w:rFonts w:ascii="Calibri" w:hAnsi="Calibri" w:cs="Calibri"/>
          <w:sz w:val="21"/>
          <w:szCs w:val="21"/>
        </w:rPr>
        <w:t xml:space="preserve">  (</w:t>
      </w:r>
      <w:proofErr w:type="gramEnd"/>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 xml:space="preserve">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lastRenderedPageBreak/>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3CC9" w14:textId="77777777" w:rsidR="00863DB1" w:rsidRDefault="00863DB1">
      <w:pPr>
        <w:spacing w:after="0"/>
      </w:pPr>
      <w:r>
        <w:separator/>
      </w:r>
    </w:p>
  </w:endnote>
  <w:endnote w:type="continuationSeparator" w:id="0">
    <w:p w14:paraId="2EC3260F" w14:textId="77777777" w:rsidR="00863DB1" w:rsidRDefault="00863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panose1 w:val="020B0604020202020204"/>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Microsoft YaHei"/>
    <w:panose1 w:val="020B0604020202020204"/>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5C2" w14:textId="77777777" w:rsidR="00ED0B66" w:rsidRDefault="00E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ED0B66" w:rsidRDefault="00ED0B66">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xmlns:w16sdtdh="http://schemas.microsoft.com/office/word/2020/wordml/sdtdatahash">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" filled="f" stroked="f">
              <v:textbox style="mso-fit-shape-to-text:t" inset="0,0,0,0">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A1F2" w14:textId="77777777" w:rsidR="00ED0B66" w:rsidRDefault="00ED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68E8" w14:textId="77777777" w:rsidR="00863DB1" w:rsidRDefault="00863DB1">
      <w:pPr>
        <w:spacing w:after="0"/>
      </w:pPr>
      <w:r>
        <w:separator/>
      </w:r>
    </w:p>
  </w:footnote>
  <w:footnote w:type="continuationSeparator" w:id="0">
    <w:p w14:paraId="0FBB29C7" w14:textId="77777777" w:rsidR="00863DB1" w:rsidRDefault="00863D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BE8" w14:textId="77777777" w:rsidR="00ED0B66" w:rsidRDefault="00ED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6E33" w14:textId="77777777" w:rsidR="00ED0B66" w:rsidRDefault="00ED0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9698" w14:textId="77777777" w:rsidR="00ED0B66" w:rsidRDefault="00ED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9"/>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D66B7"/>
    <w:rsid w:val="008F2A4A"/>
    <w:rsid w:val="00906680"/>
    <w:rsid w:val="0090682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0E01"/>
    <w:rsid w:val="00ED42E2"/>
    <w:rsid w:val="00EE36DA"/>
    <w:rsid w:val="00EE3B09"/>
    <w:rsid w:val="00EE613F"/>
    <w:rsid w:val="00F00C37"/>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68175C6E-FED7-4EF1-B5A8-74C6699F7752}">
  <ds:schemaRefs>
    <ds:schemaRef ds:uri="http://schemas.openxmlformats.org/officeDocument/2006/bibliography"/>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82</Pages>
  <Words>27304</Words>
  <Characters>155638</Characters>
  <Application>Microsoft Office Word</Application>
  <DocSecurity>0</DocSecurity>
  <Lines>1296</Lines>
  <Paragraphs>365</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Chunxuan Ye</cp:lastModifiedBy>
  <cp:revision>13</cp:revision>
  <dcterms:created xsi:type="dcterms:W3CDTF">2021-08-18T20:46:00Z</dcterms:created>
  <dcterms:modified xsi:type="dcterms:W3CDTF">2021-08-18T22:35:00Z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