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宋体" w:hAnsi="宋体"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5"/>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5"/>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5"/>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宋体" w:hAnsi="宋体"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宋体" w:hAnsi="宋体"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hint="eastAsia"/>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bl>
    <w:p w14:paraId="1BC699DA" w14:textId="77777777" w:rsidR="00421948" w:rsidRPr="009C4FAF"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lastRenderedPageBreak/>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lastRenderedPageBreak/>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5"/>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lastRenderedPageBreak/>
              <w:t>The suggested modifications are summarized as follows.</w:t>
            </w:r>
          </w:p>
          <w:p w14:paraId="44CD110C"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5"/>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hint="eastAsia"/>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hint="eastAsia"/>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bl>
    <w:p w14:paraId="1787E349" w14:textId="77777777" w:rsidR="000B04B2" w:rsidRDefault="000B04B2" w:rsidP="00E5234A">
      <w:pPr>
        <w:spacing w:after="0"/>
        <w:jc w:val="both"/>
        <w:rPr>
          <w:rFonts w:ascii="Calibri" w:eastAsiaTheme="minorEastAsia" w:hAnsi="Calibri" w:cs="Calibri"/>
          <w:sz w:val="21"/>
          <w:szCs w:val="21"/>
          <w:lang w:val="en-US"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lastRenderedPageBreak/>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 xml:space="preserve">non-preferred resource(s) it should be further studied including a) </w:t>
            </w:r>
            <w:r w:rsidRPr="00696FD1">
              <w:rPr>
                <w:rFonts w:ascii="Calibri" w:hAnsi="Calibri" w:cs="Calibri"/>
                <w:sz w:val="22"/>
                <w:lang w:eastAsia="zh-CN"/>
              </w:rPr>
              <w:lastRenderedPageBreak/>
              <w:t>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w:t>
            </w:r>
            <w:r>
              <w:rPr>
                <w:rFonts w:ascii="Calibri" w:hAnsi="Calibri" w:cs="Calibri"/>
                <w:sz w:val="22"/>
                <w:szCs w:val="22"/>
                <w:lang w:eastAsia="zh-CN"/>
              </w:rPr>
              <w:lastRenderedPageBreak/>
              <w:t>future traffic. Then, for condition 1-A-1, following updated version si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signalling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w:t>
            </w:r>
            <w:r w:rsidRPr="00194FFB">
              <w:rPr>
                <w:rFonts w:ascii="Calibri" w:eastAsiaTheme="minorEastAsia" w:hAnsi="Calibri" w:cs="Calibri"/>
                <w:i/>
                <w:color w:val="FF0000"/>
                <w:sz w:val="22"/>
              </w:rPr>
              <w:lastRenderedPageBreak/>
              <w:t xml:space="preserve">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hint="eastAsia"/>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hint="eastAsia"/>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bl>
    <w:p w14:paraId="1F1967B0" w14:textId="77777777" w:rsidR="003C1272"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lastRenderedPageBreak/>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lastRenderedPageBreak/>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lastRenderedPageBreak/>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lastRenderedPageBreak/>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lastRenderedPageBreak/>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5"/>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5"/>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hint="eastAsia"/>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hint="eastAsia"/>
                <w:color w:val="000000" w:themeColor="text1"/>
                <w:lang w:eastAsia="zh-CN"/>
              </w:rPr>
            </w:pPr>
            <w:bookmarkStart w:id="2" w:name="_GoBack"/>
            <w:bookmarkEnd w:id="2"/>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hint="eastAsia"/>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bl>
    <w:p w14:paraId="24B95CF6" w14:textId="77777777" w:rsidR="00724CCD" w:rsidRPr="00CA6780" w:rsidRDefault="00724CCD" w:rsidP="00854999">
      <w:pPr>
        <w:spacing w:after="0"/>
        <w:jc w:val="both"/>
        <w:rPr>
          <w:rFonts w:ascii="Calibri" w:eastAsiaTheme="minorEastAsia" w:hAnsi="Calibri" w:cs="Calibri"/>
          <w:sz w:val="21"/>
          <w:szCs w:val="21"/>
          <w:lang w:val="en-US"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Default="0016666C" w:rsidP="0016666C">
      <w:pPr>
        <w:pStyle w:val="a5"/>
        <w:numPr>
          <w:ilvl w:val="5"/>
          <w:numId w:val="1"/>
        </w:numPr>
        <w:spacing w:before="0" w:after="0" w:line="240" w:lineRule="auto"/>
        <w:rPr>
          <w:rFonts w:ascii="Calibri" w:hAnsi="Calibri" w:cs="Calibri"/>
          <w:sz w:val="21"/>
          <w:szCs w:val="21"/>
          <w:lang w:val="es-ES"/>
        </w:rPr>
      </w:pPr>
      <w:r>
        <w:rPr>
          <w:rFonts w:ascii="Calibri" w:hAnsi="Calibri" w:cs="Calibri"/>
          <w:sz w:val="21"/>
          <w:szCs w:val="21"/>
          <w:lang w:val="es-ES"/>
        </w:rPr>
        <w:t>Only resources to be used for initial transmisison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5"/>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lastRenderedPageBreak/>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5"/>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lastRenderedPageBreak/>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FFS: UE behaviour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73D6" w14:textId="77777777" w:rsidR="000A5995" w:rsidRDefault="000A5995">
      <w:pPr>
        <w:spacing w:after="0"/>
      </w:pPr>
      <w:r>
        <w:separator/>
      </w:r>
    </w:p>
  </w:endnote>
  <w:endnote w:type="continuationSeparator" w:id="0">
    <w:p w14:paraId="5D2D79C2" w14:textId="77777777" w:rsidR="000A5995" w:rsidRDefault="000A5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D965" w14:textId="77777777" w:rsidR="0056350B" w:rsidRDefault="0056350B">
    <w:pPr>
      <w:pStyle w:val="af6"/>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wps:txbx>
                    <wps:bodyPr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6"/>
                    </w:pPr>
                    <w:r>
                      <w:fldChar w:fldCharType="begin"/>
                    </w:r>
                    <w:r>
                      <w:instrText>PAGE</w:instrText>
                    </w:r>
                    <w:r>
                      <w:fldChar w:fldCharType="separate"/>
                    </w:r>
                    <w:r w:rsidR="00DE1D91">
                      <w:rPr>
                        <w:noProof/>
                      </w:rPr>
                      <w:t>18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AF1E" w14:textId="77777777" w:rsidR="000A5995" w:rsidRDefault="000A5995">
      <w:pPr>
        <w:spacing w:after="0"/>
      </w:pPr>
      <w:r>
        <w:separator/>
      </w:r>
    </w:p>
  </w:footnote>
  <w:footnote w:type="continuationSeparator" w:id="0">
    <w:p w14:paraId="6DAB2A6E" w14:textId="77777777" w:rsidR="000A5995" w:rsidRDefault="000A59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A63"/>
    <w:rsid w:val="00F64ECD"/>
    <w:rsid w:val="00F65797"/>
    <w:rsid w:val="00F709CA"/>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宋体" w:hAnsi="Times New Roman" w:cs="Times New Roman"/>
      <w:b/>
      <w:bCs/>
      <w:kern w:val="0"/>
      <w:sz w:val="22"/>
      <w:lang w:eastAsia="en-US"/>
    </w:rPr>
  </w:style>
  <w:style w:type="character" w:customStyle="1" w:styleId="70">
    <w:name w:val="标题 7 字符"/>
    <w:basedOn w:val="a0"/>
    <w:link w:val="7"/>
    <w:rsid w:val="001829A6"/>
    <w:rPr>
      <w:rFonts w:ascii="Times New Roman" w:eastAsia="宋体" w:hAnsi="Times New Roman" w:cs="Times New Roman"/>
      <w:kern w:val="0"/>
      <w:sz w:val="24"/>
      <w:szCs w:val="24"/>
      <w:lang w:eastAsia="en-US"/>
    </w:rPr>
  </w:style>
  <w:style w:type="character" w:customStyle="1" w:styleId="80">
    <w:name w:val="标题 8 字符"/>
    <w:basedOn w:val="a0"/>
    <w:link w:val="8"/>
    <w:rsid w:val="001829A6"/>
    <w:rPr>
      <w:rFonts w:ascii="Times New Roman" w:eastAsia="宋体" w:hAnsi="Times New Roman" w:cs="Times New Roman"/>
      <w:i/>
      <w:iCs/>
      <w:kern w:val="0"/>
      <w:sz w:val="24"/>
      <w:szCs w:val="24"/>
      <w:lang w:eastAsia="en-US"/>
    </w:rPr>
  </w:style>
  <w:style w:type="character" w:customStyle="1" w:styleId="90">
    <w:name w:val="标题 9 字符"/>
    <w:basedOn w:val="a0"/>
    <w:link w:val="9"/>
    <w:rsid w:val="001829A6"/>
    <w:rPr>
      <w:rFonts w:ascii="Arial" w:eastAsia="宋体"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7CF87455-6519-4B93-A64F-A48126B1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12188</Words>
  <Characters>69478</Characters>
  <Application>Microsoft Office Word</Application>
  <DocSecurity>0</DocSecurity>
  <Lines>578</Lines>
  <Paragraphs>163</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CMCC</cp:lastModifiedBy>
  <cp:revision>6</cp:revision>
  <dcterms:created xsi:type="dcterms:W3CDTF">2021-08-17T09:25:00Z</dcterms:created>
  <dcterms:modified xsi:type="dcterms:W3CDTF">2021-08-17T09:27:00Z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