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1"/>
        <w:spacing w:before="120" w:after="120"/>
        <w:ind w:left="0"/>
        <w:rPr>
          <w:rFonts w:eastAsia="宋体"/>
        </w:rPr>
      </w:pPr>
      <w:r>
        <w:rPr>
          <w:rFonts w:eastAsia="宋体"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宋体"/>
        </w:rPr>
      </w:pPr>
      <w:r>
        <w:rPr>
          <w:rFonts w:eastAsia="宋体"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14:paraId="4F5F2467" w14:textId="77777777"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w:t>
      </w:r>
      <w:proofErr w:type="gramStart"/>
      <w:r>
        <w:rPr>
          <w:rFonts w:hint="eastAsia"/>
        </w:rPr>
        <w:t>are</w:t>
      </w:r>
      <w:proofErr w:type="gramEnd"/>
      <w:r>
        <w:rPr>
          <w:rFonts w:hint="eastAsia"/>
        </w:rPr>
        <w:t xml:space="preserve"> made below, </w:t>
      </w:r>
    </w:p>
    <w:p w14:paraId="43430EEC" w14:textId="77777777"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 xml:space="preserve">Performing partial sensing during the DRX inactive period improves the PRR performance significantly. We prefer that the sensing during inactive period is based on configuration instead of leaving </w:t>
            </w:r>
            <w:proofErr w:type="gramStart"/>
            <w:r w:rsidRPr="005450E7">
              <w:t>to</w:t>
            </w:r>
            <w:proofErr w:type="gramEnd"/>
            <w:r w:rsidRPr="005450E7">
              <w:t xml:space="preserve">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w:t>
            </w:r>
            <w:proofErr w:type="gramStart"/>
            <w:r w:rsidRPr="009F2F66">
              <w:rPr>
                <w:rFonts w:ascii="Arial" w:hAnsi="Arial" w:cs="Arial"/>
                <w:color w:val="FF0000"/>
                <w:sz w:val="16"/>
                <w:szCs w:val="21"/>
              </w:rPr>
              <w:t>to</w:t>
            </w:r>
            <w:r>
              <w:rPr>
                <w:rFonts w:ascii="Arial" w:hAnsi="Arial" w:cs="Arial"/>
                <w:color w:val="000000"/>
                <w:sz w:val="16"/>
                <w:szCs w:val="21"/>
              </w:rPr>
              <w:t xml:space="preserve"> </w:t>
            </w:r>
            <w:r w:rsidRPr="009F2F66">
              <w:rPr>
                <w:rFonts w:ascii="Arial" w:hAnsi="Arial" w:cs="Arial"/>
                <w:strike/>
                <w:color w:val="FF0000"/>
                <w:sz w:val="16"/>
                <w:szCs w:val="21"/>
              </w:rPr>
              <w:t>can</w:t>
            </w:r>
            <w:proofErr w:type="gramEnd"/>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14:paraId="2C97E2FC" w14:textId="77777777"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14:paraId="4E4884E2" w14:textId="77777777"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1"/>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 xml:space="preserve">is possible </w:t>
      </w:r>
      <w:proofErr w:type="gramStart"/>
      <w:r w:rsidRPr="00F92A06">
        <w:rPr>
          <w:color w:val="FF0000"/>
        </w:rPr>
        <w:t>to</w:t>
      </w:r>
      <w:r>
        <w:t xml:space="preserve"> can</w:t>
      </w:r>
      <w:proofErr w:type="gramEnd"/>
      <w:r>
        <w:t xml:space="preserve">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w:t>
      </w:r>
      <w:proofErr w:type="gramStart"/>
      <w:r>
        <w:rPr>
          <w:rFonts w:hint="eastAsia"/>
        </w:rPr>
        <w:t>e.g.</w:t>
      </w:r>
      <w:proofErr w:type="gramEnd"/>
      <w:r>
        <w:rPr>
          <w:rFonts w:hint="eastAsia"/>
        </w:rPr>
        <w:t xml:space="preserve"> HARQ RTT timer should be considered, thus the change is not needed. Please let me know in case of any </w:t>
      </w:r>
      <w:proofErr w:type="gramStart"/>
      <w:r>
        <w:rPr>
          <w:rFonts w:hint="eastAsia"/>
        </w:rPr>
        <w:t>mis-understanding</w:t>
      </w:r>
      <w:proofErr w:type="gramEnd"/>
      <w:r>
        <w:rPr>
          <w:rFonts w:hint="eastAsia"/>
        </w:rPr>
        <w:t>.</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14:paraId="1136993F" w14:textId="77777777"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3C2D4508" w14:textId="77777777" w:rsidR="00443175" w:rsidRPr="00AD6578" w:rsidRDefault="00443175" w:rsidP="00443175">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af5"/>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w:t>
            </w:r>
            <w:proofErr w:type="gramStart"/>
            <w:r>
              <w:t>i.e.</w:t>
            </w:r>
            <w:proofErr w:type="gramEnd"/>
            <w:r>
              <w:t xml:space="preserv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afa"/>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afa"/>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Cons: Regulator shall assume the situation that </w:t>
            </w:r>
            <w:proofErr w:type="gramStart"/>
            <w:r>
              <w:rPr>
                <w:rFonts w:ascii="Calibri" w:eastAsia="Malgun Gothic" w:hAnsi="Calibri" w:cs="Calibri"/>
                <w:sz w:val="22"/>
                <w:szCs w:val="22"/>
                <w:lang w:eastAsia="ko-KR"/>
              </w:rPr>
              <w:t>no any</w:t>
            </w:r>
            <w:proofErr w:type="gramEnd"/>
            <w:r>
              <w:rPr>
                <w:rFonts w:ascii="Calibri" w:eastAsia="Malgun Gothic" w:hAnsi="Calibri" w:cs="Calibri"/>
                <w:sz w:val="22"/>
                <w:szCs w:val="22"/>
                <w:lang w:eastAsia="ko-KR"/>
              </w:rPr>
              <w:t xml:space="preserve">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Convida</w:t>
            </w:r>
            <w:proofErr w:type="spellEnd"/>
            <w:r>
              <w:rPr>
                <w:rFonts w:asciiTheme="minorHAnsi" w:hAnsiTheme="minorHAnsi" w:cstheme="minorHAnsi"/>
                <w:sz w:val="22"/>
                <w:szCs w:val="22"/>
              </w:rPr>
              <w:t xml:space="preserve">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If full </w:t>
            </w:r>
            <w:proofErr w:type="gramStart"/>
            <w:r>
              <w:rPr>
                <w:rFonts w:asciiTheme="minorHAnsi" w:hAnsiTheme="minorHAnsi" w:cstheme="minorHAnsi"/>
                <w:sz w:val="22"/>
                <w:szCs w:val="22"/>
              </w:rPr>
              <w:t>sensing based</w:t>
            </w:r>
            <w:proofErr w:type="gramEnd"/>
            <w:r>
              <w:rPr>
                <w:rFonts w:asciiTheme="minorHAnsi" w:hAnsiTheme="minorHAnsi" w:cstheme="minorHAnsi"/>
                <w:sz w:val="22"/>
                <w:szCs w:val="22"/>
              </w:rPr>
              <w:t xml:space="preserve"> resource selection is performed by UE, it may need to be specified that UE should keep sensing in </w:t>
            </w:r>
            <w:proofErr w:type="spellStart"/>
            <w:r>
              <w:rPr>
                <w:rFonts w:asciiTheme="minorHAnsi" w:hAnsiTheme="minorHAnsi" w:cstheme="minorHAnsi"/>
                <w:sz w:val="22"/>
                <w:szCs w:val="22"/>
              </w:rPr>
              <w:t>DRx</w:t>
            </w:r>
            <w:proofErr w:type="spellEnd"/>
            <w:r>
              <w:rPr>
                <w:rFonts w:asciiTheme="minorHAnsi" w:hAnsiTheme="minorHAnsi" w:cstheme="minorHAnsi"/>
                <w:sz w:val="22"/>
                <w:szCs w:val="22"/>
              </w:rPr>
              <w:t xml:space="preserve">-inactive duration. </w:t>
            </w:r>
            <w:r w:rsidR="00882A30">
              <w:rPr>
                <w:rFonts w:asciiTheme="minorHAnsi" w:hAnsiTheme="minorHAnsi" w:cstheme="minorHAnsi"/>
                <w:sz w:val="22"/>
                <w:szCs w:val="22"/>
              </w:rPr>
              <w:t xml:space="preserve">However, if partial </w:t>
            </w:r>
            <w:proofErr w:type="gramStart"/>
            <w:r w:rsidR="00882A30">
              <w:rPr>
                <w:rFonts w:asciiTheme="minorHAnsi" w:hAnsiTheme="minorHAnsi" w:cstheme="minorHAnsi"/>
                <w:sz w:val="22"/>
                <w:szCs w:val="22"/>
              </w:rPr>
              <w:t>sensing based</w:t>
            </w:r>
            <w:proofErr w:type="gramEnd"/>
            <w:r w:rsidR="00882A30">
              <w:rPr>
                <w:rFonts w:asciiTheme="minorHAnsi" w:hAnsiTheme="minorHAnsi" w:cstheme="minorHAnsi"/>
                <w:sz w:val="22"/>
                <w:szCs w:val="22"/>
              </w:rPr>
              <w:t xml:space="preserve">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14:paraId="40AF6482" w14:textId="77777777" w:rsidTr="006479F8">
        <w:tc>
          <w:tcPr>
            <w:tcW w:w="2058" w:type="dxa"/>
          </w:tcPr>
          <w:p w14:paraId="09BB0516" w14:textId="0773409D" w:rsidR="000957F1" w:rsidRDefault="000957F1" w:rsidP="000957F1">
            <w:pPr>
              <w:spacing w:before="120" w:after="120"/>
              <w:rPr>
                <w:rFonts w:asciiTheme="minorHAnsi" w:hAnsiTheme="minorHAnsi" w:cstheme="minorHAnsi"/>
                <w:sz w:val="22"/>
                <w:szCs w:val="22"/>
              </w:rPr>
            </w:pPr>
            <w:proofErr w:type="spellStart"/>
            <w:r>
              <w:lastRenderedPageBreak/>
              <w:t>Futurewei</w:t>
            </w:r>
            <w:proofErr w:type="spellEnd"/>
          </w:p>
        </w:tc>
        <w:tc>
          <w:tcPr>
            <w:tcW w:w="7837" w:type="dxa"/>
          </w:tcPr>
          <w:p w14:paraId="66BECC45" w14:textId="6B827364" w:rsidR="000957F1" w:rsidRDefault="000957F1" w:rsidP="000957F1">
            <w:pPr>
              <w:spacing w:before="120" w:after="120"/>
              <w:rPr>
                <w:rFonts w:asciiTheme="minorHAnsi" w:hAnsiTheme="minorHAnsi" w:cstheme="minorHAnsi"/>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r w:rsidR="00E84CF2" w14:paraId="6CEB113D" w14:textId="77777777" w:rsidTr="006479F8">
        <w:tc>
          <w:tcPr>
            <w:tcW w:w="2058" w:type="dxa"/>
          </w:tcPr>
          <w:p w14:paraId="05A89518" w14:textId="4F3454CF" w:rsidR="00E84CF2" w:rsidRDefault="00E84CF2" w:rsidP="000957F1">
            <w:pPr>
              <w:spacing w:before="120" w:after="120"/>
            </w:pPr>
            <w:proofErr w:type="spellStart"/>
            <w:r>
              <w:t>InterDigital</w:t>
            </w:r>
            <w:proofErr w:type="spellEnd"/>
          </w:p>
        </w:tc>
        <w:tc>
          <w:tcPr>
            <w:tcW w:w="7837" w:type="dxa"/>
          </w:tcPr>
          <w:p w14:paraId="0FD6939A" w14:textId="77777777" w:rsidR="00E84CF2" w:rsidRDefault="00E84CF2" w:rsidP="000957F1">
            <w:pPr>
              <w:spacing w:before="120" w:after="120"/>
            </w:pPr>
            <w:r>
              <w:t>Yes, it would be good if we can resolve FFS in this meeting.</w:t>
            </w:r>
          </w:p>
          <w:p w14:paraId="2F6C6853" w14:textId="51D5D61A" w:rsidR="00E84CF2" w:rsidRDefault="00E84CF2" w:rsidP="000957F1">
            <w:pPr>
              <w:spacing w:before="120" w:after="120"/>
            </w:pPr>
            <w:r>
              <w:t>The UE behavior has to be specified to make the system more stable. If it leaves to the UE implementation, lots of UEs may not perform sensing during inactive period for its own benefit (e.g., battery saving) which results in lower system performance. Therefore, it is important to mandate all UEs perform the same UE behavior to be fair.</w:t>
            </w:r>
          </w:p>
        </w:tc>
      </w:tr>
      <w:tr w:rsidR="00FB2504" w14:paraId="081560F0" w14:textId="77777777" w:rsidTr="006479F8">
        <w:tc>
          <w:tcPr>
            <w:tcW w:w="2058" w:type="dxa"/>
          </w:tcPr>
          <w:p w14:paraId="49FD000E" w14:textId="57D64FBD" w:rsidR="00FB2504" w:rsidRDefault="00FB2504" w:rsidP="000957F1">
            <w:pPr>
              <w:spacing w:before="120" w:after="120"/>
            </w:pPr>
            <w:r>
              <w:t>Apple</w:t>
            </w:r>
          </w:p>
        </w:tc>
        <w:tc>
          <w:tcPr>
            <w:tcW w:w="7837" w:type="dxa"/>
          </w:tcPr>
          <w:p w14:paraId="5C973545" w14:textId="77777777" w:rsidR="00FB2504" w:rsidRDefault="00FB2504" w:rsidP="000957F1">
            <w:pPr>
              <w:spacing w:before="120" w:after="120"/>
            </w:pPr>
            <w:r>
              <w:t xml:space="preserve">We prefer to solve the FFS in this meeting. </w:t>
            </w:r>
          </w:p>
          <w:p w14:paraId="09F7F241" w14:textId="0141D2FF" w:rsidR="00FB2504" w:rsidRDefault="00FB2504" w:rsidP="000957F1">
            <w:pPr>
              <w:spacing w:before="120" w:after="120"/>
            </w:pPr>
            <w:r>
              <w:t xml:space="preserve">From reliable system perspective, it is preferrable to specify UE’s sensing behavior on sensing during SL DRX inactive time. Also, we should strive to align the partial sensing occasions with SL DRX active time to achieve large power saving gain. </w:t>
            </w:r>
          </w:p>
        </w:tc>
      </w:tr>
      <w:tr w:rsidR="00CB0CD4" w14:paraId="13D0C28C" w14:textId="77777777" w:rsidTr="00CB0CD4">
        <w:tc>
          <w:tcPr>
            <w:tcW w:w="2058" w:type="dxa"/>
          </w:tcPr>
          <w:p w14:paraId="68ACA6E9" w14:textId="77777777" w:rsidR="00CB0CD4" w:rsidRDefault="00CB0CD4" w:rsidP="003B32B1">
            <w:pPr>
              <w:spacing w:before="120" w:after="120"/>
            </w:pPr>
            <w:r>
              <w:rPr>
                <w:rFonts w:hint="eastAsia"/>
              </w:rPr>
              <w:t>F</w:t>
            </w:r>
            <w:r>
              <w:t>ujitsu</w:t>
            </w:r>
          </w:p>
        </w:tc>
        <w:tc>
          <w:tcPr>
            <w:tcW w:w="7837" w:type="dxa"/>
          </w:tcPr>
          <w:p w14:paraId="428C2DAF" w14:textId="77777777" w:rsidR="00CB0CD4" w:rsidRDefault="00CB0CD4" w:rsidP="003B32B1">
            <w:pPr>
              <w:spacing w:before="120" w:after="120"/>
            </w:pPr>
            <w:r w:rsidRPr="004D0D1C">
              <w:t>Yes, we prefer to resolve the FFS,</w:t>
            </w:r>
            <w:r>
              <w:t xml:space="preserve"> and it should be </w:t>
            </w:r>
            <w:r w:rsidRPr="004D0D1C">
              <w:rPr>
                <w:b/>
                <w:bCs/>
              </w:rPr>
              <w:t>subject to specification</w:t>
            </w:r>
            <w:r>
              <w:t>.</w:t>
            </w:r>
          </w:p>
          <w:p w14:paraId="16C161C7" w14:textId="77777777" w:rsidR="00CB0CD4" w:rsidRDefault="00CB0CD4" w:rsidP="003B32B1">
            <w:pPr>
              <w:spacing w:before="120" w:after="120"/>
            </w:pPr>
            <w:r>
              <w:rPr>
                <w:rFonts w:hint="eastAsia"/>
              </w:rPr>
              <w:t>W</w:t>
            </w:r>
            <w:r>
              <w:t>e do not prefer to leave the sensing operation during the SL DRX inactive time to implementation. Because from the system point of view, t</w:t>
            </w:r>
            <w:r w:rsidRPr="006B69EF">
              <w:t>his will result in inability to control the balance between PRR performance and power saving</w:t>
            </w:r>
            <w:r>
              <w:t xml:space="preserve">. For instance, some mechanism can be considered and specified, to obtain the power saving benefits as much as possible without </w:t>
            </w:r>
            <w:r w:rsidRPr="006B69EF">
              <w:t xml:space="preserve">significantly degrading </w:t>
            </w:r>
            <w:r>
              <w:t xml:space="preserve">the PRR </w:t>
            </w:r>
            <w:r w:rsidRPr="006B69EF">
              <w:t>performance</w:t>
            </w:r>
            <w:r>
              <w:t>.</w:t>
            </w:r>
          </w:p>
        </w:tc>
      </w:tr>
    </w:tbl>
    <w:p w14:paraId="37725E41" w14:textId="77777777" w:rsidR="00155089" w:rsidRPr="00CB0CD4"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5"/>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afa"/>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afa"/>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lastRenderedPageBreak/>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57AB4587" w14:textId="77777777" w:rsidR="00914197" w:rsidRPr="00AD6578" w:rsidRDefault="00914197" w:rsidP="00914197">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af2"/>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af5"/>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 xml:space="preserve">How to response the LS depends on the outcome of question 1. We suggest </w:t>
            </w:r>
            <w:proofErr w:type="gramStart"/>
            <w:r w:rsidR="00833C95">
              <w:t>to focus</w:t>
            </w:r>
            <w:proofErr w:type="gramEnd"/>
            <w:r w:rsidR="00833C95">
              <w:t xml:space="preserve">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w:t>
            </w:r>
            <w:proofErr w:type="gramStart"/>
            <w:r>
              <w:t>Otherwise</w:t>
            </w:r>
            <w:proofErr w:type="gramEnd"/>
            <w:r>
              <w:t xml:space="preserv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w:t>
            </w:r>
            <w:proofErr w:type="gramStart"/>
            <w:r>
              <w:t>main-bullet</w:t>
            </w:r>
            <w:proofErr w:type="gramEnd"/>
            <w:r>
              <w:t xml:space="preserve"> to RAN2. </w:t>
            </w:r>
          </w:p>
        </w:tc>
      </w:tr>
      <w:tr w:rsidR="008A5DDA" w14:paraId="24B51E8F" w14:textId="77777777" w:rsidTr="008A5DDA">
        <w:tc>
          <w:tcPr>
            <w:tcW w:w="1698" w:type="dxa"/>
          </w:tcPr>
          <w:p w14:paraId="28F13702" w14:textId="0740E5F3" w:rsidR="008A5DDA" w:rsidRDefault="008A5DDA" w:rsidP="008A5DDA">
            <w:pPr>
              <w:spacing w:before="120" w:after="120"/>
            </w:pPr>
            <w:proofErr w:type="spellStart"/>
            <w:r>
              <w:t>Convida</w:t>
            </w:r>
            <w:proofErr w:type="spellEnd"/>
            <w:r>
              <w:t xml:space="preserve">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lastRenderedPageBreak/>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are fine to reply the current agreement if no further progress is made.</w:t>
            </w:r>
          </w:p>
        </w:tc>
      </w:tr>
      <w:tr w:rsidR="000957F1" w14:paraId="6483105F" w14:textId="77777777" w:rsidTr="008A5DDA">
        <w:tc>
          <w:tcPr>
            <w:tcW w:w="1698" w:type="dxa"/>
          </w:tcPr>
          <w:p w14:paraId="441A14C4" w14:textId="2F85D313" w:rsidR="000957F1" w:rsidRDefault="000957F1" w:rsidP="000957F1">
            <w:pPr>
              <w:spacing w:before="120" w:after="120"/>
            </w:pPr>
            <w:proofErr w:type="spellStart"/>
            <w:r>
              <w:t>Futurewei</w:t>
            </w:r>
            <w:proofErr w:type="spellEnd"/>
          </w:p>
        </w:tc>
        <w:tc>
          <w:tcPr>
            <w:tcW w:w="7952" w:type="dxa"/>
          </w:tcPr>
          <w:p w14:paraId="379B867C" w14:textId="4B739E9B" w:rsidR="000957F1" w:rsidRDefault="000957F1" w:rsidP="000957F1">
            <w:pPr>
              <w:spacing w:before="120" w:after="120"/>
            </w:pPr>
            <w:r>
              <w:t xml:space="preserve">If we do not have any agreement on any FFS part in this meeting, we prefer to send current agreement to RAN2 to avoid further delay. </w:t>
            </w:r>
          </w:p>
        </w:tc>
      </w:tr>
      <w:tr w:rsidR="001A46D9" w14:paraId="66AFB883" w14:textId="77777777" w:rsidTr="008A5DDA">
        <w:tc>
          <w:tcPr>
            <w:tcW w:w="1698" w:type="dxa"/>
          </w:tcPr>
          <w:p w14:paraId="2350E7BE" w14:textId="0A0FB142" w:rsidR="001A46D9" w:rsidRDefault="001A46D9" w:rsidP="000957F1">
            <w:pPr>
              <w:spacing w:before="120" w:after="120"/>
            </w:pPr>
            <w:proofErr w:type="spellStart"/>
            <w:r>
              <w:t>InterDigital</w:t>
            </w:r>
            <w:proofErr w:type="spellEnd"/>
          </w:p>
        </w:tc>
        <w:tc>
          <w:tcPr>
            <w:tcW w:w="7952" w:type="dxa"/>
          </w:tcPr>
          <w:p w14:paraId="71D72B94" w14:textId="12C859F1" w:rsidR="001A46D9" w:rsidRDefault="001A46D9" w:rsidP="000957F1">
            <w:pPr>
              <w:spacing w:before="120" w:after="120"/>
            </w:pPr>
            <w:r>
              <w:t>We can try to make further progress in Q2.1 but if we don’t make any additional agreement, it is still much better to send a reply LS with existing agreement.</w:t>
            </w:r>
          </w:p>
        </w:tc>
      </w:tr>
      <w:tr w:rsidR="00FB2504" w14:paraId="65AE12F3" w14:textId="77777777" w:rsidTr="008A5DDA">
        <w:tc>
          <w:tcPr>
            <w:tcW w:w="1698" w:type="dxa"/>
          </w:tcPr>
          <w:p w14:paraId="30726FA6" w14:textId="3D89FE6A" w:rsidR="00FB2504" w:rsidRDefault="00FB2504" w:rsidP="000957F1">
            <w:pPr>
              <w:spacing w:before="120" w:after="120"/>
            </w:pPr>
            <w:r>
              <w:t>Apple</w:t>
            </w:r>
          </w:p>
        </w:tc>
        <w:tc>
          <w:tcPr>
            <w:tcW w:w="7952" w:type="dxa"/>
          </w:tcPr>
          <w:p w14:paraId="3131FC70" w14:textId="14817B4C" w:rsidR="00FB2504" w:rsidRDefault="00FB2504" w:rsidP="000957F1">
            <w:pPr>
              <w:spacing w:before="120" w:after="120"/>
            </w:pPr>
            <w:r>
              <w:t xml:space="preserve">We are fine with the current reply if there is no further agreement made in the meeting. </w:t>
            </w:r>
          </w:p>
        </w:tc>
      </w:tr>
      <w:tr w:rsidR="00CB0CD4" w14:paraId="08F1D0E0" w14:textId="77777777" w:rsidTr="00CB0CD4">
        <w:tc>
          <w:tcPr>
            <w:tcW w:w="1698" w:type="dxa"/>
          </w:tcPr>
          <w:p w14:paraId="686A6E45" w14:textId="77777777" w:rsidR="00CB0CD4" w:rsidRDefault="00CB0CD4" w:rsidP="003B32B1">
            <w:pPr>
              <w:spacing w:before="120" w:after="120"/>
            </w:pPr>
            <w:r>
              <w:t>Fujitsu</w:t>
            </w:r>
          </w:p>
        </w:tc>
        <w:tc>
          <w:tcPr>
            <w:tcW w:w="7952" w:type="dxa"/>
          </w:tcPr>
          <w:p w14:paraId="56154480" w14:textId="77777777" w:rsidR="00CB0CD4" w:rsidRDefault="00CB0CD4" w:rsidP="003B32B1">
            <w:pPr>
              <w:spacing w:before="120" w:after="120"/>
            </w:pPr>
            <w:r>
              <w:t xml:space="preserve">We also think it is better to conclude question 2.1 first. </w:t>
            </w:r>
          </w:p>
        </w:tc>
      </w:tr>
    </w:tbl>
    <w:p w14:paraId="73AA0E8E" w14:textId="77777777" w:rsidR="00511DF0" w:rsidRPr="00CB0CD4"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1"/>
        <w:spacing w:before="120" w:after="120"/>
        <w:ind w:left="0"/>
        <w:rPr>
          <w:rFonts w:eastAsia="宋体"/>
        </w:rPr>
      </w:pPr>
      <w:r>
        <w:rPr>
          <w:rFonts w:eastAsia="宋体" w:hint="eastAsia"/>
        </w:rPr>
        <w:t>Reference</w:t>
      </w:r>
      <w:r>
        <w:rPr>
          <w:rFonts w:eastAsia="宋体"/>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14:paraId="15F76A9B" w14:textId="77777777" w:rsidR="006B7B36" w:rsidRDefault="002A1BA8">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 xml:space="preserve">Huawei, </w:t>
      </w:r>
      <w:proofErr w:type="spellStart"/>
      <w:r w:rsidR="00E93AC7">
        <w:rPr>
          <w:sz w:val="20"/>
          <w:szCs w:val="22"/>
        </w:rPr>
        <w:t>HiSilicon</w:t>
      </w:r>
      <w:proofErr w:type="spellEnd"/>
    </w:p>
    <w:p w14:paraId="4FC1752E" w14:textId="77777777" w:rsidR="006B7B36" w:rsidRDefault="002A1BA8">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2A1BA8">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2A1BA8">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2A1BA8">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2A1BA8">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2A1BA8">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2A1BA8">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2A1BA8">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2A1BA8">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2A1BA8">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2A1BA8">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2A1BA8">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2A1BA8">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2A1BA8">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2A1BA8">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2A1BA8">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2A1BA8">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2A1BA8">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2A1BA8">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2A1BA8">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2A1BA8">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2A1BA8">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2A1BA8">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2A1BA8">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2A1BA8">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2A1BA8">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2A1BA8">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2A1BA8">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2A1BA8">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2A1BA8">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2A1BA8">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2A1BA8">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1"/>
        <w:numPr>
          <w:ilvl w:val="0"/>
          <w:numId w:val="0"/>
        </w:numPr>
        <w:spacing w:before="120" w:after="120"/>
        <w:rPr>
          <w:rFonts w:eastAsia="宋体"/>
        </w:rPr>
      </w:pPr>
      <w:r>
        <w:rPr>
          <w:rFonts w:eastAsia="宋体"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lastRenderedPageBreak/>
        <w:t>Proposal 1:</w:t>
      </w:r>
      <w:r>
        <w:rPr>
          <w:bCs/>
          <w:i/>
        </w:rPr>
        <w:t xml:space="preserve"> When a UE is configured with sidelink DRX, </w:t>
      </w:r>
    </w:p>
    <w:p w14:paraId="4836EF12" w14:textId="77777777" w:rsidR="006B7B36" w:rsidRDefault="00E93AC7">
      <w:pPr>
        <w:pStyle w:val="afa"/>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afa"/>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14:paraId="3A9D5AF6" w14:textId="77777777" w:rsidR="006B7B36" w:rsidRDefault="002A1BA8">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14:paraId="41B769A8" w14:textId="77777777" w:rsidR="006B7B36" w:rsidRDefault="002A1BA8">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14:paraId="345D2727" w14:textId="77777777" w:rsidR="006B7B36" w:rsidRDefault="002A1BA8">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a8"/>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14:paraId="213EB7A5" w14:textId="77777777"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w:t>
      </w:r>
      <w:proofErr w:type="gramStart"/>
      <w:r>
        <w:rPr>
          <w:rFonts w:eastAsia="Times New Roman"/>
          <w:b/>
          <w:i/>
          <w:kern w:val="0"/>
          <w:szCs w:val="21"/>
          <w:lang w:val="en-GB"/>
        </w:rPr>
        <w:t>slots</w:t>
      </w:r>
      <w:proofErr w:type="gramEnd"/>
      <w:r>
        <w:rPr>
          <w:rFonts w:eastAsia="Times New Roman"/>
          <w:b/>
          <w:i/>
          <w:kern w:val="0"/>
          <w:szCs w:val="21"/>
          <w:lang w:val="en-GB"/>
        </w:rPr>
        <w:t xml:space="preserve">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r w:rsidR="002A1BA8">
        <w:fldChar w:fldCharType="begin"/>
      </w:r>
      <w:r w:rsidR="002A1BA8">
        <w:instrText xml:space="preserve"> SEQ Proposal \* ARABIC </w:instrText>
      </w:r>
      <w:r w:rsidR="002A1BA8">
        <w:fldChar w:fldCharType="separate"/>
      </w:r>
      <w:r>
        <w:t>11</w:t>
      </w:r>
      <w:r w:rsidR="002A1BA8">
        <w:fldChar w:fldCharType="end"/>
      </w:r>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r w:rsidR="002A1BA8">
        <w:fldChar w:fldCharType="begin"/>
      </w:r>
      <w:r w:rsidR="002A1BA8">
        <w:instrText xml:space="preserve"> SEQ Proposal \* ARABIC </w:instrText>
      </w:r>
      <w:r w:rsidR="002A1BA8">
        <w:fldChar w:fldCharType="separate"/>
      </w:r>
      <w:r>
        <w:t>12</w:t>
      </w:r>
      <w:r w:rsidR="002A1BA8">
        <w:fldChar w:fldCharType="end"/>
      </w:r>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w:t>
      </w:r>
      <w:proofErr w:type="gramStart"/>
      <w:r>
        <w:rPr>
          <w:b/>
        </w:rPr>
        <w:t>e.g.</w:t>
      </w:r>
      <w:proofErr w:type="gramEnd"/>
      <w:r>
        <w:rPr>
          <w:b/>
        </w:rPr>
        <w:t xml:space="preserve">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 xml:space="preserve">Proposal 14: When TX UE performs resource selection for RX UE with SL DRX </w:t>
      </w:r>
      <w:proofErr w:type="gramStart"/>
      <w:r>
        <w:rPr>
          <w:b/>
        </w:rPr>
        <w:t>enabled,</w:t>
      </w:r>
      <w:proofErr w:type="gramEnd"/>
      <w:r>
        <w:rPr>
          <w:b/>
        </w:rPr>
        <w:t xml:space="preserve">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lastRenderedPageBreak/>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gNB for a better coordination with </w:t>
      </w:r>
      <w:proofErr w:type="spellStart"/>
      <w:r>
        <w:rPr>
          <w:i/>
          <w:lang w:val="en-SG"/>
        </w:rPr>
        <w:t>Uu</w:t>
      </w:r>
      <w:proofErr w:type="spellEnd"/>
      <w:r>
        <w:rPr>
          <w:i/>
          <w:lang w:val="en-SG"/>
        </w:rPr>
        <w:t xml:space="preserve">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a8"/>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14:paraId="6D535EBB" w14:textId="77777777" w:rsidR="006B7B36" w:rsidRDefault="00E93AC7">
      <w:pPr>
        <w:pStyle w:val="a8"/>
        <w:spacing w:before="120" w:after="120"/>
        <w:rPr>
          <w:rFonts w:eastAsia="宋体"/>
          <w:b/>
          <w:bCs/>
        </w:rPr>
      </w:pPr>
      <w:r>
        <w:rPr>
          <w:rFonts w:eastAsia="宋体" w:hint="eastAsia"/>
          <w:b/>
          <w:bCs/>
        </w:rPr>
        <w:t>O</w:t>
      </w:r>
      <w:r>
        <w:rPr>
          <w:rFonts w:eastAsia="宋体"/>
          <w:b/>
          <w:bCs/>
        </w:rPr>
        <w:t xml:space="preserve">bservation 4: If sensing is performed within both DRX active time and DRX inactive time, more accurate sensing results can be </w:t>
      </w:r>
      <w:proofErr w:type="gramStart"/>
      <w:r>
        <w:rPr>
          <w:rFonts w:eastAsia="宋体"/>
          <w:b/>
          <w:bCs/>
        </w:rPr>
        <w:t>obtained</w:t>
      </w:r>
      <w:proofErr w:type="gramEnd"/>
      <w:r>
        <w:rPr>
          <w:rFonts w:eastAsia="宋体"/>
          <w:b/>
          <w:bCs/>
        </w:rPr>
        <w:t xml:space="preserve"> and re-evaluation/pre-emption are applicable.</w:t>
      </w:r>
    </w:p>
    <w:p w14:paraId="32662312" w14:textId="77777777"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14:paraId="135C3C30" w14:textId="77777777"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14:paraId="547DBE53" w14:textId="77777777" w:rsidR="006B7B36" w:rsidRDefault="00E93AC7">
      <w:pPr>
        <w:pStyle w:val="a8"/>
        <w:spacing w:before="120" w:after="120"/>
        <w:rPr>
          <w:rFonts w:eastAsia="宋体"/>
          <w:b/>
          <w:bCs/>
        </w:rPr>
      </w:pPr>
      <w:r>
        <w:rPr>
          <w:rFonts w:eastAsia="宋体"/>
          <w:b/>
          <w:bCs/>
        </w:rPr>
        <w:t xml:space="preserve">Proposal 16: If SL DRX is configured, some enhancements of mode 2 resource selection procedure should be further studied. </w:t>
      </w:r>
    </w:p>
    <w:p w14:paraId="76FB5B87" w14:textId="77777777"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a3"/>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a3"/>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a3"/>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2A1BA8">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2A1BA8">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r>
      <w:proofErr w:type="spellStart"/>
      <w:r>
        <w:rPr>
          <w:rFonts w:ascii="Calibri" w:eastAsia="Malgun Gothic" w:hAnsi="Calibri"/>
          <w:i/>
          <w:iCs/>
          <w:sz w:val="22"/>
          <w:szCs w:val="22"/>
        </w:rPr>
        <w:t>Opt</w:t>
      </w:r>
      <w:proofErr w:type="spellEnd"/>
      <w:r>
        <w:rPr>
          <w:rFonts w:ascii="Calibri" w:eastAsia="Malgun Gothic" w:hAnsi="Calibri"/>
          <w:i/>
          <w:iCs/>
          <w:sz w:val="22"/>
          <w:szCs w:val="22"/>
        </w:rPr>
        <w:t xml:space="preserve">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22BD3B1B" w14:textId="77777777" w:rsidR="006B7B36" w:rsidRDefault="002A1BA8">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w:t>
      </w:r>
      <w:proofErr w:type="gramStart"/>
      <w:r>
        <w:rPr>
          <w:rFonts w:ascii="Calibri" w:hAnsi="Calibri"/>
          <w:b/>
          <w:bCs/>
          <w:i/>
          <w:iCs/>
          <w:sz w:val="22"/>
          <w:szCs w:val="22"/>
        </w:rPr>
        <w:t>i.e.</w:t>
      </w:r>
      <w:proofErr w:type="gramEnd"/>
      <w:r>
        <w:rPr>
          <w:rFonts w:ascii="Calibri" w:hAnsi="Calibri"/>
          <w:b/>
          <w:bCs/>
          <w:i/>
          <w:iCs/>
          <w:sz w:val="22"/>
          <w:szCs w:val="22"/>
        </w:rPr>
        <w:t xml:space="preserv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2A1BA8">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2A1BA8">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2A1BA8">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D4A2D" w14:textId="77777777" w:rsidR="002A1BA8" w:rsidRDefault="002A1BA8">
      <w:pPr>
        <w:spacing w:before="120" w:after="120" w:line="240" w:lineRule="auto"/>
      </w:pPr>
      <w:r>
        <w:separator/>
      </w:r>
    </w:p>
  </w:endnote>
  <w:endnote w:type="continuationSeparator" w:id="0">
    <w:p w14:paraId="5BF8074A" w14:textId="77777777" w:rsidR="002A1BA8" w:rsidRDefault="002A1BA8">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B6C" w14:textId="77777777" w:rsidR="00882A30" w:rsidRDefault="00882A30">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5B6604C7" w14:textId="7271F811" w:rsidR="00882A30" w:rsidRDefault="00882A30">
        <w:pPr>
          <w:pStyle w:val="ac"/>
          <w:spacing w:before="120" w:after="120"/>
          <w:jc w:val="center"/>
        </w:pPr>
        <w:r>
          <w:fldChar w:fldCharType="begin"/>
        </w:r>
        <w:r>
          <w:instrText xml:space="preserve"> PAGE   \* MERGEFORMAT </w:instrText>
        </w:r>
        <w:r>
          <w:fldChar w:fldCharType="separate"/>
        </w:r>
        <w:r w:rsidR="00444EE4">
          <w:rPr>
            <w:noProof/>
          </w:rPr>
          <w:t>16</w:t>
        </w:r>
        <w:r>
          <w:rPr>
            <w:noProof/>
          </w:rPr>
          <w:fldChar w:fldCharType="end"/>
        </w:r>
      </w:p>
    </w:sdtContent>
  </w:sdt>
  <w:p w14:paraId="73D21C28" w14:textId="77777777" w:rsidR="00882A30" w:rsidRDefault="00882A30">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BCB" w14:textId="77777777" w:rsidR="00882A30" w:rsidRDefault="00882A30">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8CD6C" w14:textId="77777777" w:rsidR="002A1BA8" w:rsidRDefault="002A1BA8">
      <w:pPr>
        <w:spacing w:before="120" w:after="120" w:line="240" w:lineRule="auto"/>
      </w:pPr>
      <w:r>
        <w:separator/>
      </w:r>
    </w:p>
  </w:footnote>
  <w:footnote w:type="continuationSeparator" w:id="0">
    <w:p w14:paraId="234399DC" w14:textId="77777777" w:rsidR="002A1BA8" w:rsidRDefault="002A1BA8">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4D2" w14:textId="77777777" w:rsidR="00882A30" w:rsidRDefault="00882A30">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60E" w14:textId="77777777" w:rsidR="00882A30" w:rsidRDefault="00882A30">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571" w14:textId="77777777" w:rsidR="00882A30" w:rsidRDefault="00882A30">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A46D9"/>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1B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3229"/>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3147B"/>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0CD4"/>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829F6"/>
    <w:rsid w:val="00E84CF2"/>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2504"/>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TOC1">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TOC2">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0">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表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1">
    <w:name w:val="목록 단락1"/>
    <w:basedOn w:val="a"/>
    <w:rsid w:val="00CA4320"/>
    <w:pPr>
      <w:spacing w:beforeLines="0" w:line="240" w:lineRule="auto"/>
      <w:ind w:left="720"/>
      <w:contextualSpacing/>
    </w:pPr>
    <w:rPr>
      <w:rFonts w:eastAsia="宋体"/>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2.xml><?xml version="1.0" encoding="utf-8"?>
<ds:datastoreItem xmlns:ds="http://schemas.openxmlformats.org/officeDocument/2006/customXml" ds:itemID="{0970B241-7EB9-4328-A3CF-C22DB6EA498F}">
  <ds:schemaRefs>
    <ds:schemaRef ds:uri="http://schemas.openxmlformats.org/officeDocument/2006/bibliography"/>
  </ds:schemaRefs>
</ds:datastoreItem>
</file>

<file path=customXml/itemProps3.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5E63A48-D223-4E54-807A-8DA6710B7B4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9062</Words>
  <Characters>51657</Characters>
  <Application>Microsoft Office Word</Application>
  <DocSecurity>0</DocSecurity>
  <Lines>430</Lines>
  <Paragraphs>121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60598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Ji, Pengyu/纪 鹏宇</cp:lastModifiedBy>
  <cp:revision>5</cp:revision>
  <dcterms:created xsi:type="dcterms:W3CDTF">2021-08-23T21:04:00Z</dcterms:created>
  <dcterms:modified xsi:type="dcterms:W3CDTF">2021-08-24T01:50:00Z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