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1"/>
        <w:spacing w:before="120" w:after="120"/>
        <w:ind w:left="0"/>
        <w:rPr>
          <w:rFonts w:eastAsia="宋体"/>
        </w:rPr>
      </w:pPr>
      <w:r>
        <w:rPr>
          <w:rFonts w:eastAsia="宋体"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宋体"/>
        </w:rPr>
      </w:pPr>
      <w:r>
        <w:rPr>
          <w:rFonts w:eastAsia="宋体"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14:paraId="2C97E2FC" w14:textId="77777777"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14:paraId="4E4884E2" w14:textId="77777777"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3C2D4508" w14:textId="77777777"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af5"/>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afa"/>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afa"/>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hint="eastAsia"/>
                <w:sz w:val="22"/>
                <w:szCs w:val="22"/>
              </w:rPr>
            </w:pPr>
            <w:r>
              <w:rPr>
                <w:rFonts w:asciiTheme="minorHAnsi" w:hAnsiTheme="minorHAnsi" w:cstheme="minorHAnsi"/>
                <w:sz w:val="22"/>
                <w:szCs w:val="22"/>
              </w:rPr>
              <w:t xml:space="preserve">Yes, we prefer to resolve the FFS, and support to specify the UE behavior. </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lastRenderedPageBreak/>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57AB4587" w14:textId="77777777"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af5"/>
        <w:tblW w:w="0" w:type="auto"/>
        <w:tblLook w:val="04A0" w:firstRow="1" w:lastRow="0" w:firstColumn="1" w:lastColumn="0" w:noHBand="0" w:noVBand="1"/>
      </w:tblPr>
      <w:tblGrid>
        <w:gridCol w:w="1698"/>
        <w:gridCol w:w="7952"/>
      </w:tblGrid>
      <w:tr w:rsidR="00511DF0" w14:paraId="1D49081C" w14:textId="77777777" w:rsidTr="00CB4921">
        <w:tc>
          <w:tcPr>
            <w:tcW w:w="1652" w:type="dxa"/>
          </w:tcPr>
          <w:p w14:paraId="2B6C2337" w14:textId="77777777" w:rsidR="00511DF0" w:rsidRPr="00511DF0" w:rsidRDefault="00511DF0" w:rsidP="006C385B">
            <w:pPr>
              <w:spacing w:before="120" w:after="120"/>
              <w:rPr>
                <w:i/>
              </w:rPr>
            </w:pPr>
            <w:r w:rsidRPr="00511DF0">
              <w:rPr>
                <w:rFonts w:hint="eastAsia"/>
                <w:i/>
              </w:rPr>
              <w:t>Company</w:t>
            </w:r>
          </w:p>
        </w:tc>
        <w:tc>
          <w:tcPr>
            <w:tcW w:w="799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CB4921">
        <w:tc>
          <w:tcPr>
            <w:tcW w:w="1652" w:type="dxa"/>
          </w:tcPr>
          <w:p w14:paraId="15C8EAB9" w14:textId="77777777" w:rsidR="00511DF0" w:rsidRDefault="000F4507" w:rsidP="006C385B">
            <w:pPr>
              <w:spacing w:before="120" w:after="120"/>
            </w:pPr>
            <w:r>
              <w:rPr>
                <w:rFonts w:hint="eastAsia"/>
              </w:rPr>
              <w:t>O</w:t>
            </w:r>
            <w:r>
              <w:t>PPO</w:t>
            </w:r>
          </w:p>
        </w:tc>
        <w:tc>
          <w:tcPr>
            <w:tcW w:w="799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CB4921">
        <w:tc>
          <w:tcPr>
            <w:tcW w:w="1652" w:type="dxa"/>
          </w:tcPr>
          <w:p w14:paraId="6B3E7E83" w14:textId="77777777" w:rsidR="009B134C" w:rsidRDefault="009B134C" w:rsidP="006C385B">
            <w:pPr>
              <w:spacing w:before="120" w:after="120"/>
            </w:pPr>
            <w:r>
              <w:t>vivo</w:t>
            </w:r>
          </w:p>
        </w:tc>
        <w:tc>
          <w:tcPr>
            <w:tcW w:w="799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CB4921">
        <w:tc>
          <w:tcPr>
            <w:tcW w:w="1652" w:type="dxa"/>
          </w:tcPr>
          <w:p w14:paraId="1E3A1942" w14:textId="77777777" w:rsidR="00E11153" w:rsidRDefault="00E11153" w:rsidP="006C385B">
            <w:pPr>
              <w:spacing w:before="120" w:after="120"/>
            </w:pPr>
            <w:r>
              <w:rPr>
                <w:rFonts w:hint="eastAsia"/>
              </w:rPr>
              <w:t>S</w:t>
            </w:r>
            <w:r>
              <w:t>harp</w:t>
            </w:r>
          </w:p>
        </w:tc>
        <w:tc>
          <w:tcPr>
            <w:tcW w:w="799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CB4921">
        <w:tc>
          <w:tcPr>
            <w:tcW w:w="1652" w:type="dxa"/>
          </w:tcPr>
          <w:p w14:paraId="62938E5F" w14:textId="6D205C64" w:rsidR="00D14B91" w:rsidRDefault="00D14B91" w:rsidP="006C385B">
            <w:pPr>
              <w:spacing w:before="120" w:after="120"/>
            </w:pPr>
            <w:r>
              <w:t>Ericsson</w:t>
            </w:r>
          </w:p>
        </w:tc>
        <w:tc>
          <w:tcPr>
            <w:tcW w:w="7998"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CB4921">
        <w:tc>
          <w:tcPr>
            <w:tcW w:w="1652" w:type="dxa"/>
          </w:tcPr>
          <w:p w14:paraId="71C82781" w14:textId="13CDB8FE" w:rsidR="00EA0730" w:rsidRDefault="00EA0730" w:rsidP="006C385B">
            <w:pPr>
              <w:spacing w:before="120" w:after="120"/>
            </w:pPr>
            <w:r>
              <w:t>NTT DOCOMO</w:t>
            </w:r>
          </w:p>
        </w:tc>
        <w:tc>
          <w:tcPr>
            <w:tcW w:w="7998" w:type="dxa"/>
          </w:tcPr>
          <w:p w14:paraId="26A079EC" w14:textId="43911920" w:rsidR="00EA0730" w:rsidRDefault="00EA0730" w:rsidP="00B9316C">
            <w:pPr>
              <w:spacing w:before="120" w:after="120"/>
            </w:pPr>
            <w:r>
              <w:t>Let’s try to conclude Q2.1 first.</w:t>
            </w:r>
          </w:p>
        </w:tc>
      </w:tr>
      <w:tr w:rsidR="00B0022F" w14:paraId="57B27BB7" w14:textId="77777777" w:rsidTr="00CB4921">
        <w:tc>
          <w:tcPr>
            <w:tcW w:w="1652" w:type="dxa"/>
          </w:tcPr>
          <w:p w14:paraId="5EE95802" w14:textId="71889953" w:rsidR="00B0022F" w:rsidRDefault="00B0022F" w:rsidP="006C385B">
            <w:pPr>
              <w:spacing w:before="120" w:after="120"/>
            </w:pPr>
            <w:r>
              <w:t>Intel</w:t>
            </w:r>
          </w:p>
        </w:tc>
        <w:tc>
          <w:tcPr>
            <w:tcW w:w="7998"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CB4921">
        <w:tc>
          <w:tcPr>
            <w:tcW w:w="1652" w:type="dxa"/>
          </w:tcPr>
          <w:p w14:paraId="4B074AAF" w14:textId="1848F360" w:rsidR="00870224" w:rsidRDefault="00870224" w:rsidP="006C385B">
            <w:pPr>
              <w:spacing w:before="120" w:after="120"/>
            </w:pPr>
            <w:r>
              <w:t>Panasonic</w:t>
            </w:r>
          </w:p>
        </w:tc>
        <w:tc>
          <w:tcPr>
            <w:tcW w:w="7998"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CB4921">
        <w:tc>
          <w:tcPr>
            <w:tcW w:w="1652" w:type="dxa"/>
          </w:tcPr>
          <w:p w14:paraId="2D5A8141" w14:textId="155D231D" w:rsidR="00CB4921" w:rsidRDefault="00CB4921" w:rsidP="00CB4921">
            <w:pPr>
              <w:spacing w:before="120" w:after="120"/>
            </w:pPr>
            <w:r>
              <w:lastRenderedPageBreak/>
              <w:t>Lenovo/Motorola</w:t>
            </w:r>
          </w:p>
        </w:tc>
        <w:tc>
          <w:tcPr>
            <w:tcW w:w="7998"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CB4921">
        <w:tc>
          <w:tcPr>
            <w:tcW w:w="1652" w:type="dxa"/>
          </w:tcPr>
          <w:p w14:paraId="3F9ADB46" w14:textId="614A13D1" w:rsidR="009E2A0D" w:rsidRDefault="009E2A0D" w:rsidP="00CB4921">
            <w:pPr>
              <w:spacing w:before="120" w:after="120"/>
            </w:pPr>
            <w:r>
              <w:t>Fraunhofer</w:t>
            </w:r>
          </w:p>
        </w:tc>
        <w:tc>
          <w:tcPr>
            <w:tcW w:w="7998"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CB4921">
        <w:tc>
          <w:tcPr>
            <w:tcW w:w="1652" w:type="dxa"/>
          </w:tcPr>
          <w:p w14:paraId="05E03C26" w14:textId="40EDFFFC" w:rsidR="009F1961" w:rsidRDefault="009F1961" w:rsidP="00CB4921">
            <w:pPr>
              <w:spacing w:before="120" w:after="120"/>
            </w:pPr>
            <w:r>
              <w:rPr>
                <w:rFonts w:hint="eastAsia"/>
              </w:rPr>
              <w:t>C</w:t>
            </w:r>
            <w:r>
              <w:t>ATT, GOHIGH</w:t>
            </w:r>
          </w:p>
        </w:tc>
        <w:tc>
          <w:tcPr>
            <w:tcW w:w="7998" w:type="dxa"/>
          </w:tcPr>
          <w:p w14:paraId="06703CF9" w14:textId="2ABFCD83" w:rsidR="009F1961" w:rsidRDefault="009F1961" w:rsidP="00CB4921">
            <w:pPr>
              <w:spacing w:before="120" w:after="120"/>
            </w:pPr>
            <w:r>
              <w:t>It would be better to reply LS based on the question 2.1</w:t>
            </w:r>
            <w:bookmarkStart w:id="3" w:name="_GoBack"/>
            <w:bookmarkEnd w:id="3"/>
            <w:r>
              <w:t xml:space="preserve">. Otherwise, we prefer to only provide main-bullet to RAN2. </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1"/>
        <w:spacing w:before="120" w:after="120"/>
        <w:ind w:left="0"/>
        <w:rPr>
          <w:rFonts w:eastAsia="宋体"/>
        </w:rPr>
      </w:pPr>
      <w:r>
        <w:rPr>
          <w:rFonts w:eastAsia="宋体" w:hint="eastAsia"/>
        </w:rPr>
        <w:t>Reference</w:t>
      </w:r>
      <w:r>
        <w:rPr>
          <w:rFonts w:eastAsia="宋体"/>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C57469">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C57469">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C57469">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C57469">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C57469">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C57469">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C57469">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C57469">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C57469">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C57469">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C57469">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C57469">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C57469">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C57469">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C57469">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C57469">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C57469">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C57469">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C57469">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C57469">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C57469">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C57469">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C57469">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C57469">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C57469">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C57469">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C57469">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C57469">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C57469">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C57469">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C57469">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C57469">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C57469">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1"/>
        <w:numPr>
          <w:ilvl w:val="0"/>
          <w:numId w:val="0"/>
        </w:numPr>
        <w:spacing w:before="120" w:after="120"/>
        <w:rPr>
          <w:rFonts w:eastAsia="宋体"/>
        </w:rPr>
      </w:pPr>
      <w:r>
        <w:rPr>
          <w:rFonts w:eastAsia="宋体"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afa"/>
        <w:numPr>
          <w:ilvl w:val="0"/>
          <w:numId w:val="9"/>
        </w:numPr>
        <w:spacing w:afterLines="0"/>
        <w:contextualSpacing w:val="0"/>
        <w:rPr>
          <w:rFonts w:eastAsia="Malgun Gothic"/>
          <w:bCs/>
          <w:i/>
        </w:rPr>
      </w:pPr>
      <w:r>
        <w:rPr>
          <w:rFonts w:eastAsia="Malgun Gothic"/>
          <w:bCs/>
          <w:i/>
        </w:rPr>
        <w:lastRenderedPageBreak/>
        <w:t>the UE performs sensing after its sidelink data arrival, even if the sensing occasion is in its sidelink DRX off duration.</w:t>
      </w:r>
    </w:p>
    <w:p w14:paraId="7E7E563C" w14:textId="77777777"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14:paraId="3A9D5AF6" w14:textId="77777777" w:rsidR="006B7B36" w:rsidRDefault="00C57469">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14:paraId="41B769A8" w14:textId="77777777" w:rsidR="006B7B36" w:rsidRDefault="00C57469">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14:paraId="345D2727" w14:textId="77777777" w:rsidR="006B7B36" w:rsidRDefault="00C57469">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14:paraId="74B3C3D4" w14:textId="77777777" w:rsidR="006B7B36" w:rsidRDefault="0054426B">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a8"/>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14:paraId="213EB7A5" w14:textId="77777777"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14:paraId="5C888790" w14:textId="77777777"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lastRenderedPageBreak/>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14:paraId="6D535EBB" w14:textId="77777777"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14:paraId="135C3C30" w14:textId="77777777"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14:paraId="547DBE53" w14:textId="77777777" w:rsidR="006B7B36" w:rsidRDefault="00E93AC7">
      <w:pPr>
        <w:pStyle w:val="a8"/>
        <w:spacing w:before="120" w:after="120"/>
        <w:rPr>
          <w:rFonts w:eastAsia="宋体"/>
          <w:b/>
          <w:bCs/>
        </w:rPr>
      </w:pPr>
      <w:r>
        <w:rPr>
          <w:rFonts w:eastAsia="宋体"/>
          <w:b/>
          <w:bCs/>
        </w:rPr>
        <w:t xml:space="preserve">Proposal 16: If SL DRX is configured, some enhancements of mode 2 resource selection procedure should be further studied. </w:t>
      </w:r>
    </w:p>
    <w:p w14:paraId="76FB5B87" w14:textId="77777777"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a3"/>
      </w:pPr>
      <w:bookmarkStart w:id="6" w:name="_Toc79159118"/>
      <w:bookmarkEnd w:id="6"/>
      <w:r>
        <w:t>Observation 5: Partially overlapping DRX configurations increase collisions among power saving UEs' transmissions.</w:t>
      </w:r>
    </w:p>
    <w:p w14:paraId="51D67AC9" w14:textId="77777777"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a3"/>
      </w:pPr>
      <w:bookmarkStart w:id="9" w:name="_Toc79159137"/>
      <w:bookmarkEnd w:id="9"/>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C57469">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C57469">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C57469">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C57469">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C57469">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C57469">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E44F3" w14:textId="77777777" w:rsidR="00C57469" w:rsidRDefault="00C57469">
      <w:pPr>
        <w:spacing w:before="120" w:after="120" w:line="240" w:lineRule="auto"/>
      </w:pPr>
      <w:r>
        <w:separator/>
      </w:r>
    </w:p>
  </w:endnote>
  <w:endnote w:type="continuationSeparator" w:id="0">
    <w:p w14:paraId="6127A38B" w14:textId="77777777" w:rsidR="00C57469" w:rsidRDefault="00C57469">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Batang">
    <w:altName w:val="Malgun Gothic Semilight"/>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71B6C" w14:textId="77777777" w:rsidR="006479F8" w:rsidRDefault="006479F8">
    <w:pPr>
      <w:pStyle w:val="ac"/>
      <w:spacing w:before="120"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EndPr/>
    <w:sdtContent>
      <w:p w14:paraId="5B6604C7" w14:textId="6F0B62C9" w:rsidR="006479F8" w:rsidRDefault="006479F8">
        <w:pPr>
          <w:pStyle w:val="ac"/>
          <w:spacing w:before="120" w:after="120"/>
          <w:jc w:val="center"/>
        </w:pPr>
        <w:r>
          <w:fldChar w:fldCharType="begin"/>
        </w:r>
        <w:r>
          <w:instrText xml:space="preserve"> PAGE   \* MERGEFORMAT </w:instrText>
        </w:r>
        <w:r>
          <w:fldChar w:fldCharType="separate"/>
        </w:r>
        <w:r w:rsidR="009F1961">
          <w:rPr>
            <w:noProof/>
          </w:rPr>
          <w:t>17</w:t>
        </w:r>
        <w:r>
          <w:rPr>
            <w:noProof/>
          </w:rPr>
          <w:fldChar w:fldCharType="end"/>
        </w:r>
      </w:p>
    </w:sdtContent>
  </w:sdt>
  <w:p w14:paraId="73D21C28" w14:textId="77777777" w:rsidR="006479F8" w:rsidRDefault="006479F8">
    <w:pPr>
      <w:pStyle w:val="ac"/>
      <w:spacing w:before="120" w:after="1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80BCB" w14:textId="77777777" w:rsidR="006479F8" w:rsidRDefault="006479F8">
    <w:pPr>
      <w:pStyle w:val="ac"/>
      <w:spacing w:before="120" w:after="1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920C7" w14:textId="77777777" w:rsidR="00C57469" w:rsidRDefault="00C57469">
      <w:pPr>
        <w:spacing w:before="120" w:after="120" w:line="240" w:lineRule="auto"/>
      </w:pPr>
      <w:r>
        <w:separator/>
      </w:r>
    </w:p>
  </w:footnote>
  <w:footnote w:type="continuationSeparator" w:id="0">
    <w:p w14:paraId="16AA30F6" w14:textId="77777777" w:rsidR="00C57469" w:rsidRDefault="00C57469">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E4D2" w14:textId="77777777" w:rsidR="006479F8" w:rsidRDefault="006479F8">
    <w:pPr>
      <w:pStyle w:val="ae"/>
      <w:spacing w:before="120"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D60E" w14:textId="77777777" w:rsidR="006479F8" w:rsidRDefault="006479F8">
    <w:pPr>
      <w:pStyle w:val="ae"/>
      <w:spacing w:before="120" w:after="1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F571" w14:textId="77777777" w:rsidR="006479F8" w:rsidRDefault="006479F8">
    <w:pPr>
      <w:pStyle w:val="ae"/>
      <w:spacing w:before="120" w:after="1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1">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21">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出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2">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2">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7.xml><?xml version="1.0" encoding="utf-8"?>
<ds:datastoreItem xmlns:ds="http://schemas.openxmlformats.org/officeDocument/2006/customXml" ds:itemID="{C43DD815-74ED-4DA7-A04E-27BBDF2B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8581</Words>
  <Characters>48913</Characters>
  <Application>Microsoft Office Word</Application>
  <DocSecurity>0</DocSecurity>
  <Lines>407</Lines>
  <Paragraphs>114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CATT, GOHIGH</cp:lastModifiedBy>
  <cp:revision>2</cp:revision>
  <dcterms:created xsi:type="dcterms:W3CDTF">2021-08-23T14:43:00Z</dcterms:created>
  <dcterms:modified xsi:type="dcterms:W3CDTF">2021-08-23T14:43:00Z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