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2A02A8">
      <w:pPr>
        <w:tabs>
          <w:tab w:val="left" w:pos="1985"/>
        </w:tabs>
        <w:spacing w:beforeLines="10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SimSun"/>
        </w:rPr>
      </w:pPr>
      <w:r>
        <w:rPr>
          <w:rFonts w:eastAsia="SimSun"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e"/>
        <w:tblW w:w="0" w:type="auto"/>
        <w:tblLook w:val="04A0"/>
      </w:tblPr>
      <w:tblGrid>
        <w:gridCol w:w="9876"/>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rPr>
                <w:rFonts w:hint="eastAsia"/>
              </w:rPr>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SimSun"/>
        </w:rPr>
      </w:pPr>
      <w:r>
        <w:rPr>
          <w:rFonts w:eastAsia="SimSun"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e"/>
        <w:tblW w:w="0" w:type="auto"/>
        <w:tblLook w:val="04A0"/>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proofErr w:type="spellStart"/>
            <w:r>
              <w:rPr>
                <w:rFonts w:hint="eastAsia"/>
              </w:rPr>
              <w:t>Xiaomi</w:t>
            </w:r>
            <w:proofErr w:type="spellEnd"/>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 xml:space="preserve">We have similar view with </w:t>
            </w:r>
            <w:proofErr w:type="spellStart"/>
            <w:r>
              <w:t>Xiaomi</w:t>
            </w:r>
            <w:proofErr w:type="spellEnd"/>
            <w:r>
              <w:t>.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 xml:space="preserve">Fine with the proposal. We also support the addition proposed by </w:t>
            </w:r>
            <w:proofErr w:type="spellStart"/>
            <w:r>
              <w:t>Xiaomi</w:t>
            </w:r>
            <w:proofErr w:type="spellEnd"/>
            <w:r>
              <w:t>.</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w:t>
            </w:r>
            <w:proofErr w:type="spellStart"/>
            <w:r>
              <w:t>Xiaomi</w:t>
            </w:r>
            <w:proofErr w:type="spellEnd"/>
            <w:r>
              <w:t xml:space="preserve">.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proofErr w:type="spellStart"/>
            <w:r>
              <w:rPr>
                <w:rFonts w:hint="eastAsia"/>
              </w:rPr>
              <w:t>Xiaomi</w:t>
            </w:r>
            <w:proofErr w:type="spellEnd"/>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proofErr w:type="spellStart"/>
            <w:r w:rsidRPr="001C3C8C">
              <w:rPr>
                <w:color w:val="000000" w:themeColor="text1"/>
                <w:szCs w:val="21"/>
              </w:rPr>
              <w:t>Huawei</w:t>
            </w:r>
            <w:proofErr w:type="spellEnd"/>
            <w:r w:rsidRPr="001C3C8C">
              <w:rPr>
                <w:color w:val="000000" w:themeColor="text1"/>
                <w:szCs w:val="21"/>
              </w:rPr>
              <w:t xml:space="preserve">,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w:t>
            </w:r>
            <w:proofErr w:type="spellStart"/>
            <w:r>
              <w:rPr>
                <w:color w:val="000000" w:themeColor="text1"/>
                <w:szCs w:val="21"/>
              </w:rPr>
              <w:t>Xiaomi</w:t>
            </w:r>
            <w:proofErr w:type="spellEnd"/>
            <w:r>
              <w:rPr>
                <w:color w:val="000000" w:themeColor="text1"/>
                <w:szCs w:val="21"/>
              </w:rPr>
              <w:t xml:space="preserve">, we do not think it is an appropriate direction to limit the scenario for reception and sensing in active time to partial sensing based </w:t>
            </w:r>
            <w:r>
              <w:rPr>
                <w:color w:val="000000" w:themeColor="text1"/>
                <w:szCs w:val="21"/>
              </w:rPr>
              <w:lastRenderedPageBreak/>
              <w:t xml:space="preserve">resource 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w:t>
            </w:r>
            <w:proofErr w:type="spellStart"/>
            <w:r>
              <w:rPr>
                <w:color w:val="000000" w:themeColor="text1"/>
                <w:szCs w:val="21"/>
              </w:rPr>
              <w:t>Xiaomi</w:t>
            </w:r>
            <w:proofErr w:type="spellEnd"/>
            <w:r>
              <w:rPr>
                <w:color w:val="000000" w:themeColor="text1"/>
                <w:szCs w:val="21"/>
              </w:rPr>
              <w:t xml:space="preserve">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3"/>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proofErr w:type="spellStart"/>
            <w:r>
              <w:rPr>
                <w:color w:val="000000" w:themeColor="text1"/>
                <w:szCs w:val="21"/>
              </w:rPr>
              <w:t>Fraunhofer</w:t>
            </w:r>
            <w:proofErr w:type="spellEnd"/>
          </w:p>
        </w:tc>
        <w:tc>
          <w:tcPr>
            <w:tcW w:w="7812" w:type="dxa"/>
          </w:tcPr>
          <w:p w:rsidR="0032367C" w:rsidRDefault="0032367C" w:rsidP="0032367C">
            <w:pPr>
              <w:spacing w:before="120" w:after="120"/>
            </w:pPr>
            <w:r>
              <w:t>Support.</w:t>
            </w:r>
          </w:p>
        </w:tc>
      </w:tr>
      <w:tr w:rsidR="00196027" w:rsidRPr="001C3C8C" w:rsidTr="00D407B3">
        <w:tc>
          <w:tcPr>
            <w:tcW w:w="1838" w:type="dxa"/>
          </w:tcPr>
          <w:p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 xml:space="preserve">We are ok for a UE can perform SL reception of PSCCH and RSRP measurement for sensing during its SL DRX inactive time. We are open to discuss further whether SL reception of PSCCH and RSRP is subject to specification or is </w:t>
            </w:r>
            <w:r w:rsidRPr="00196027">
              <w:rPr>
                <w:color w:val="000000" w:themeColor="text1"/>
                <w:szCs w:val="21"/>
              </w:rPr>
              <w:lastRenderedPageBreak/>
              <w:t>up to UE implementation.</w:t>
            </w:r>
          </w:p>
        </w:tc>
      </w:tr>
      <w:tr w:rsidR="00DC2F96" w:rsidRPr="001C3C8C" w:rsidTr="00D407B3">
        <w:tc>
          <w:tcPr>
            <w:tcW w:w="1838" w:type="dxa"/>
          </w:tcPr>
          <w:p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rsidR="00DC2F96" w:rsidRDefault="00DC2F96" w:rsidP="0032367C">
            <w:pPr>
              <w:spacing w:before="120" w:after="120"/>
              <w:rPr>
                <w:color w:val="000000" w:themeColor="text1"/>
                <w:szCs w:val="21"/>
              </w:rPr>
            </w:pPr>
            <w:r>
              <w:rPr>
                <w:color w:val="000000" w:themeColor="text1"/>
                <w:szCs w:val="21"/>
              </w:rPr>
              <w:t>Support</w:t>
            </w:r>
          </w:p>
        </w:tc>
      </w:tr>
      <w:tr w:rsidR="005E4B4A" w:rsidRPr="001C3C8C" w:rsidTr="00D407B3">
        <w:tc>
          <w:tcPr>
            <w:tcW w:w="1838" w:type="dxa"/>
          </w:tcPr>
          <w:p w:rsidR="005E4B4A" w:rsidRDefault="005E4B4A" w:rsidP="0032367C">
            <w:pPr>
              <w:spacing w:before="120" w:after="120"/>
              <w:rPr>
                <w:color w:val="000000" w:themeColor="text1"/>
                <w:szCs w:val="21"/>
              </w:rPr>
            </w:pPr>
            <w:proofErr w:type="spellStart"/>
            <w:r>
              <w:rPr>
                <w:color w:val="000000" w:themeColor="text1"/>
                <w:szCs w:val="21"/>
              </w:rPr>
              <w:t>MediaTek</w:t>
            </w:r>
            <w:proofErr w:type="spellEnd"/>
          </w:p>
        </w:tc>
        <w:tc>
          <w:tcPr>
            <w:tcW w:w="7812" w:type="dxa"/>
          </w:tcPr>
          <w:p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w:t>
            </w:r>
            <w:proofErr w:type="spellStart"/>
            <w:r>
              <w:rPr>
                <w:color w:val="000000" w:themeColor="text1"/>
                <w:szCs w:val="21"/>
              </w:rPr>
              <w:t>Xiaomi</w:t>
            </w:r>
            <w:proofErr w:type="spellEnd"/>
            <w:r>
              <w:rPr>
                <w:color w:val="000000" w:themeColor="text1"/>
                <w:szCs w:val="21"/>
              </w:rPr>
              <w:t xml:space="preserve">. </w:t>
            </w:r>
          </w:p>
        </w:tc>
      </w:tr>
    </w:tbl>
    <w:p w:rsidR="00DC2F96" w:rsidRDefault="00DC2F96">
      <w:pPr>
        <w:spacing w:before="120" w:after="120"/>
      </w:pPr>
    </w:p>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w:t>
      </w:r>
      <w:proofErr w:type="spellStart"/>
      <w:r>
        <w:t>Huawei</w:t>
      </w:r>
      <w:proofErr w:type="spellEnd"/>
      <w:r>
        <w:t xml:space="preserve">,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vivo[R1-2106620,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e"/>
        <w:tblW w:w="0" w:type="auto"/>
        <w:tblLook w:val="04A0"/>
      </w:tblPr>
      <w:tblGrid>
        <w:gridCol w:w="9876"/>
      </w:tblGrid>
      <w:tr w:rsidR="006B7B36">
        <w:tc>
          <w:tcPr>
            <w:tcW w:w="9876" w:type="dxa"/>
          </w:tcPr>
          <w:p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r>
              <w:rPr>
                <w:rFonts w:ascii="Arial" w:eastAsia="SimSun"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e"/>
        <w:tblW w:w="0" w:type="auto"/>
        <w:tblLook w:val="04A0"/>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proofErr w:type="spellStart"/>
            <w:r>
              <w:rPr>
                <w:rFonts w:hint="eastAsia"/>
              </w:rPr>
              <w:t>Xiaomi</w:t>
            </w:r>
            <w:proofErr w:type="spellEnd"/>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w:t>
            </w:r>
            <w:proofErr w:type="spellStart"/>
            <w:r>
              <w:t>config</w:t>
            </w:r>
            <w:proofErr w:type="spellEnd"/>
            <w:r>
              <w:t>.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lastRenderedPageBreak/>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rsidR="00165C0C" w:rsidRDefault="00165C0C" w:rsidP="00165C0C">
            <w:pPr>
              <w:spacing w:before="120" w:after="120"/>
            </w:pPr>
            <w:r>
              <w:rPr>
                <w:rFonts w:eastAsia="SimSun"/>
                <w:bCs/>
                <w:iCs/>
              </w:rPr>
              <w:lastRenderedPageBreak/>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arrival, if the sensing occasion is in its </w:t>
            </w:r>
            <w:proofErr w:type="spellStart"/>
            <w:r>
              <w:rPr>
                <w:rFonts w:eastAsia="SimSun"/>
                <w:bCs/>
                <w:iCs/>
              </w:rPr>
              <w:t>sidelink</w:t>
            </w:r>
            <w:proofErr w:type="spellEnd"/>
            <w:r>
              <w:rPr>
                <w:rFonts w:eastAsia="SimSun"/>
                <w:bCs/>
                <w:iCs/>
              </w:rPr>
              <w:t xml:space="preserve"> DRX inactive time. This 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1"/>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w:t>
            </w:r>
            <w:proofErr w:type="spellStart"/>
            <w:r>
              <w:t>neglectable</w:t>
            </w:r>
            <w:proofErr w:type="spellEnd"/>
            <w:r>
              <w:t xml:space="preserv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SimSun"/>
                <w:bCs/>
                <w:iCs/>
                <w:highlight w:val="cyan"/>
              </w:rPr>
              <w:t>R1-2106620</w:t>
            </w:r>
            <w:r w:rsidR="00943E1F" w:rsidRPr="00943E1F">
              <w:rPr>
                <w:highlight w:val="cyan"/>
              </w:rPr>
              <w:t xml:space="preserve">) shows no degradation. </w:t>
            </w:r>
            <w:r>
              <w:rPr>
                <w:highlight w:val="cyan"/>
              </w:rPr>
              <w:t>And the first 2 contributions also show that the difference for power consumption with/</w:t>
            </w:r>
            <w:proofErr w:type="spellStart"/>
            <w:r>
              <w:rPr>
                <w:highlight w:val="cyan"/>
              </w:rPr>
              <w:t>wo</w:t>
            </w:r>
            <w:proofErr w:type="spellEnd"/>
            <w:r>
              <w:rPr>
                <w:highlight w:val="cyan"/>
              </w:rPr>
              <w:t xml:space="preserve"> sensing within DRX inactive time is very little. </w:t>
            </w:r>
          </w:p>
          <w:p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PRR performance difference with/</w:t>
            </w:r>
            <w:proofErr w:type="spellStart"/>
            <w:r w:rsidRPr="00943E1F">
              <w:rPr>
                <w:highlight w:val="cyan"/>
              </w:rPr>
              <w:t>wo</w:t>
            </w:r>
            <w:proofErr w:type="spellEnd"/>
            <w:r w:rsidRPr="00943E1F">
              <w:rPr>
                <w:highlight w:val="cyan"/>
              </w:rPr>
              <w:t xml:space="preserve"> sensing within DRX </w:t>
            </w:r>
            <w:r w:rsidRPr="00943E1F">
              <w:rPr>
                <w:highlight w:val="cyan"/>
              </w:rPr>
              <w:lastRenderedPageBreak/>
              <w:t>inactive time. Does that mean sensing have no benefit? That conflicts the basic logic of sensing even from R14 LTE SL.</w:t>
            </w:r>
            <w:r>
              <w:t xml:space="preserve"> </w:t>
            </w:r>
          </w:p>
          <w:p w:rsidR="00F942FD" w:rsidRDefault="00F942FD"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proofErr w:type="spellStart"/>
            <w:r w:rsidRPr="001C3C8C">
              <w:rPr>
                <w:color w:val="000000" w:themeColor="text1"/>
                <w:szCs w:val="21"/>
              </w:rPr>
              <w:lastRenderedPageBreak/>
              <w:t>Huawei</w:t>
            </w:r>
            <w:proofErr w:type="spellEnd"/>
            <w:r w:rsidRPr="001C3C8C">
              <w:rPr>
                <w:color w:val="000000" w:themeColor="text1"/>
                <w:szCs w:val="21"/>
              </w:rPr>
              <w:t xml:space="preserve">,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 xml:space="preserve">SL DRX is configured for saving power, but the </w:t>
            </w:r>
            <w:proofErr w:type="spellStart"/>
            <w:r>
              <w:rPr>
                <w:color w:val="000000" w:themeColor="text1"/>
                <w:szCs w:val="21"/>
              </w:rPr>
              <w:t>QoS</w:t>
            </w:r>
            <w:proofErr w:type="spellEnd"/>
            <w:r>
              <w:rPr>
                <w:color w:val="000000" w:themeColor="text1"/>
                <w:szCs w:val="21"/>
              </w:rPr>
              <w:t xml:space="preserve">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w:t>
            </w:r>
            <w:proofErr w:type="spellStart"/>
            <w:r w:rsidRPr="001C3C8C">
              <w:rPr>
                <w:color w:val="000000" w:themeColor="text1"/>
                <w:szCs w:val="21"/>
              </w:rPr>
              <w:t>QoS</w:t>
            </w:r>
            <w:proofErr w:type="spellEnd"/>
            <w:r w:rsidRPr="001C3C8C">
              <w:rPr>
                <w:color w:val="000000" w:themeColor="text1"/>
                <w:szCs w:val="21"/>
              </w:rPr>
              <w:t xml:space="preserve">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w:t>
            </w:r>
            <w:proofErr w:type="spellStart"/>
            <w:r w:rsidRPr="001C3C8C">
              <w:rPr>
                <w:color w:val="000000" w:themeColor="text1"/>
                <w:szCs w:val="21"/>
              </w:rPr>
              <w:t>QoS</w:t>
            </w:r>
            <w:proofErr w:type="spellEnd"/>
            <w:r w:rsidRPr="001C3C8C">
              <w:rPr>
                <w:color w:val="000000" w:themeColor="text1"/>
                <w:szCs w:val="21"/>
              </w:rPr>
              <w:t xml:space="preserve">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rsidR="00BE47F2" w:rsidRDefault="00BE47F2" w:rsidP="00CA4320">
            <w:pPr>
              <w:spacing w:before="120" w:after="120"/>
              <w:rPr>
                <w:rFonts w:eastAsia="SimSun"/>
                <w:bCs/>
                <w:iCs/>
              </w:rPr>
            </w:pPr>
            <w:r>
              <w:rPr>
                <w:rFonts w:eastAsia="SimSun"/>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r>
              <w:rPr>
                <w:rFonts w:hint="eastAsia"/>
              </w:rPr>
              <w:t>ZTE,Sanechips</w:t>
            </w:r>
            <w:proofErr w:type="spell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 xml:space="preserve">If a </w:t>
            </w:r>
            <w:proofErr w:type="spellStart"/>
            <w:r>
              <w:rPr>
                <w:sz w:val="20"/>
              </w:rPr>
              <w:t>Tx</w:t>
            </w:r>
            <w:proofErr w:type="spellEnd"/>
            <w:r>
              <w:rPr>
                <w:sz w:val="20"/>
              </w:rPr>
              <w:t xml:space="preserve">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 xml:space="preserve">Rx UE, it is likely that failure to identify the resource reserved by other </w:t>
            </w:r>
            <w:proofErr w:type="spellStart"/>
            <w:r>
              <w:rPr>
                <w:sz w:val="20"/>
              </w:rPr>
              <w:t>Tx</w:t>
            </w:r>
            <w:proofErr w:type="spellEnd"/>
            <w:r>
              <w:rPr>
                <w:sz w:val="20"/>
              </w:rPr>
              <w:t xml:space="preserve">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proofErr w:type="spellStart"/>
            <w:r>
              <w:t>Fraunhofer</w:t>
            </w:r>
            <w:proofErr w:type="spellEnd"/>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rsidTr="00BE47F2">
        <w:tc>
          <w:tcPr>
            <w:tcW w:w="2122" w:type="dxa"/>
          </w:tcPr>
          <w:p w:rsidR="00DD43EB" w:rsidRDefault="00DD43EB" w:rsidP="0032367C">
            <w:pPr>
              <w:spacing w:before="120" w:after="120"/>
            </w:pPr>
            <w:proofErr w:type="spellStart"/>
            <w:r>
              <w:t>Convida</w:t>
            </w:r>
            <w:proofErr w:type="spellEnd"/>
            <w:r>
              <w:t xml:space="preserve"> Wireless</w:t>
            </w:r>
          </w:p>
        </w:tc>
        <w:tc>
          <w:tcPr>
            <w:tcW w:w="7528" w:type="dxa"/>
          </w:tcPr>
          <w:p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rsidTr="00BE47F2">
        <w:tc>
          <w:tcPr>
            <w:tcW w:w="2122" w:type="dxa"/>
          </w:tcPr>
          <w:p w:rsidR="00461F47" w:rsidRDefault="00461F47" w:rsidP="0032367C">
            <w:pPr>
              <w:spacing w:before="120" w:after="120"/>
            </w:pPr>
            <w:r>
              <w:t>Nokia, NSB</w:t>
            </w:r>
          </w:p>
        </w:tc>
        <w:tc>
          <w:tcPr>
            <w:tcW w:w="7528" w:type="dxa"/>
          </w:tcPr>
          <w:p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rsidTr="00BE47F2">
        <w:tc>
          <w:tcPr>
            <w:tcW w:w="2122" w:type="dxa"/>
          </w:tcPr>
          <w:p w:rsidR="005E4B4A" w:rsidRDefault="005E4B4A" w:rsidP="0032367C">
            <w:pPr>
              <w:spacing w:before="120" w:after="120"/>
            </w:pPr>
            <w:proofErr w:type="spellStart"/>
            <w:r>
              <w:t>MediaTek</w:t>
            </w:r>
            <w:proofErr w:type="spellEnd"/>
          </w:p>
        </w:tc>
        <w:tc>
          <w:tcPr>
            <w:tcW w:w="7528" w:type="dxa"/>
          </w:tcPr>
          <w:p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bookmarkStart w:id="3" w:name="_GoBack"/>
            <w:bookmarkEnd w:id="3"/>
            <w:r>
              <w:rPr>
                <w:color w:val="000000" w:themeColor="text1"/>
                <w:szCs w:val="21"/>
              </w:rPr>
              <w:t xml:space="preserve"> Alt. 1.</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spellStart"/>
      <w:r>
        <w:rPr>
          <w:rFonts w:hint="eastAsia"/>
        </w:rPr>
        <w:t>mis</w:t>
      </w:r>
      <w:proofErr w:type="spellEnd"/>
      <w:r>
        <w:rPr>
          <w:rFonts w:hint="eastAsia"/>
        </w:rPr>
        <w:t>-understanding.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B21F9D" w:rsidRDefault="000928E4" w:rsidP="000928E4">
      <w:pPr>
        <w:pStyle w:val="2"/>
        <w:spacing w:before="120" w:after="120"/>
        <w:ind w:right="210"/>
        <w:rPr>
          <w:rFonts w:eastAsiaTheme="minorEastAsia"/>
        </w:rPr>
      </w:pPr>
      <w:r w:rsidRPr="000928E4">
        <w:rPr>
          <w:rFonts w:hint="eastAsia"/>
        </w:rPr>
        <w:t>Round 2 discussion</w:t>
      </w:r>
    </w:p>
    <w:p w:rsidR="006C385B" w:rsidRDefault="00854E0B" w:rsidP="006C385B">
      <w:pPr>
        <w:spacing w:before="120" w:after="120"/>
      </w:pPr>
      <w:r>
        <w:rPr>
          <w:rFonts w:hint="eastAsia"/>
        </w:rPr>
        <w:t xml:space="preserve">The following has been approved by email as outcome of round 1 discussion. </w:t>
      </w:r>
    </w:p>
    <w:p w:rsidR="00443175" w:rsidRPr="00AD6578" w:rsidRDefault="00443175" w:rsidP="00443175">
      <w:pPr>
        <w:pStyle w:val="ac"/>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lastRenderedPageBreak/>
        <w:t>Agreement</w:t>
      </w:r>
    </w:p>
    <w:p w:rsidR="00443175" w:rsidRPr="00AD6578" w:rsidRDefault="00443175" w:rsidP="00443175">
      <w:pPr>
        <w:pStyle w:val="ac"/>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rsidR="00443175" w:rsidRPr="00AD6578" w:rsidRDefault="00443175" w:rsidP="00854E0B">
      <w:pPr>
        <w:pStyle w:val="ac"/>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443175" w:rsidRPr="00AD6578" w:rsidRDefault="00443175" w:rsidP="00854E0B">
      <w:pPr>
        <w:pStyle w:val="ac"/>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rsidR="00746AE7" w:rsidRDefault="00746AE7" w:rsidP="006C385B">
      <w:pPr>
        <w:spacing w:before="120" w:after="120"/>
        <w:rPr>
          <w:i/>
        </w:rPr>
      </w:pPr>
      <w:r>
        <w:rPr>
          <w:rFonts w:hint="eastAsia"/>
          <w:i/>
        </w:rPr>
        <w:t>If no, please go to question 2.2</w:t>
      </w:r>
    </w:p>
    <w:tbl>
      <w:tblPr>
        <w:tblStyle w:val="ae"/>
        <w:tblW w:w="0" w:type="auto"/>
        <w:tblLook w:val="04A0"/>
      </w:tblPr>
      <w:tblGrid>
        <w:gridCol w:w="4938"/>
        <w:gridCol w:w="4938"/>
      </w:tblGrid>
      <w:tr w:rsidR="00155089" w:rsidRPr="00155089" w:rsidTr="00155089">
        <w:tc>
          <w:tcPr>
            <w:tcW w:w="4938" w:type="dxa"/>
          </w:tcPr>
          <w:p w:rsidR="00155089" w:rsidRPr="00155089" w:rsidRDefault="002C5F26" w:rsidP="002C5F26">
            <w:pPr>
              <w:spacing w:before="120" w:after="120"/>
              <w:rPr>
                <w:i/>
              </w:rPr>
            </w:pPr>
            <w:r>
              <w:rPr>
                <w:rFonts w:hint="eastAsia"/>
                <w:i/>
              </w:rPr>
              <w:t>Company</w:t>
            </w:r>
          </w:p>
        </w:tc>
        <w:tc>
          <w:tcPr>
            <w:tcW w:w="4938" w:type="dxa"/>
          </w:tcPr>
          <w:p w:rsidR="00155089" w:rsidRPr="00155089" w:rsidRDefault="002C5F26" w:rsidP="006C385B">
            <w:pPr>
              <w:spacing w:before="120" w:after="120"/>
              <w:rPr>
                <w:i/>
              </w:rPr>
            </w:pPr>
            <w:r>
              <w:rPr>
                <w:rFonts w:hint="eastAsia"/>
                <w:i/>
              </w:rPr>
              <w:t>View</w:t>
            </w:r>
          </w:p>
        </w:tc>
      </w:tr>
      <w:tr w:rsidR="00155089" w:rsidTr="00155089">
        <w:tc>
          <w:tcPr>
            <w:tcW w:w="4938" w:type="dxa"/>
          </w:tcPr>
          <w:p w:rsidR="00155089" w:rsidRDefault="00155089" w:rsidP="006C385B">
            <w:pPr>
              <w:spacing w:before="120" w:after="120"/>
            </w:pPr>
          </w:p>
        </w:tc>
        <w:tc>
          <w:tcPr>
            <w:tcW w:w="4938" w:type="dxa"/>
          </w:tcPr>
          <w:p w:rsidR="00155089" w:rsidRDefault="00155089" w:rsidP="006C385B">
            <w:pPr>
              <w:spacing w:before="120" w:after="120"/>
            </w:pPr>
          </w:p>
        </w:tc>
      </w:tr>
    </w:tbl>
    <w:p w:rsidR="00155089" w:rsidRDefault="00155089" w:rsidP="006C385B">
      <w:pPr>
        <w:spacing w:before="120" w:after="120"/>
      </w:pPr>
    </w:p>
    <w:p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e"/>
        <w:tblW w:w="0" w:type="auto"/>
        <w:tblLook w:val="04A0"/>
      </w:tblPr>
      <w:tblGrid>
        <w:gridCol w:w="9876"/>
      </w:tblGrid>
      <w:tr w:rsidR="00914197" w:rsidTr="00914197">
        <w:tc>
          <w:tcPr>
            <w:tcW w:w="9876" w:type="dxa"/>
          </w:tcPr>
          <w:p w:rsidR="00914197" w:rsidRDefault="00914197" w:rsidP="002A02A8">
            <w:pPr>
              <w:spacing w:before="120" w:afterLines="100"/>
              <w:rPr>
                <w:rFonts w:ascii="Arial" w:hAnsi="Arial" w:cs="Arial"/>
              </w:rPr>
            </w:pPr>
            <w:r>
              <w:rPr>
                <w:rFonts w:ascii="Arial" w:hAnsi="Arial" w:cs="Arial" w:hint="eastAsia"/>
              </w:rPr>
              <w:t xml:space="preserve">RAN1 would like to thank RAN2 on the announcement of their agreement and working assumption on </w:t>
            </w:r>
            <w:proofErr w:type="spellStart"/>
            <w:r>
              <w:rPr>
                <w:rFonts w:ascii="Arial" w:hAnsi="Arial" w:cs="Arial" w:hint="eastAsia"/>
              </w:rPr>
              <w:t>sidelink</w:t>
            </w:r>
            <w:proofErr w:type="spellEnd"/>
            <w:r>
              <w:rPr>
                <w:rFonts w:ascii="Arial" w:hAnsi="Arial" w:cs="Arial" w:hint="eastAsia"/>
              </w:rPr>
              <w:t xml:space="preserve"> DRX. </w:t>
            </w:r>
          </w:p>
          <w:p w:rsidR="00914197" w:rsidRDefault="00914197" w:rsidP="002A02A8">
            <w:pPr>
              <w:spacing w:before="120" w:afterLines="10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8"/>
            </w:tblGrid>
            <w:tr w:rsidR="00914197" w:rsidTr="00914197">
              <w:tc>
                <w:tcPr>
                  <w:tcW w:w="9938" w:type="dxa"/>
                </w:tcPr>
                <w:p w:rsidR="00914197" w:rsidRDefault="00914197" w:rsidP="00914197">
                  <w:pPr>
                    <w:pStyle w:val="af3"/>
                    <w:spacing w:after="120" w:line="259" w:lineRule="auto"/>
                    <w:ind w:left="0"/>
                    <w:rPr>
                      <w:rFonts w:ascii="Arial" w:hAnsi="Arial" w:cs="Arial"/>
                    </w:rPr>
                  </w:pPr>
                  <w:r>
                    <w:rPr>
                      <w:rFonts w:ascii="Arial" w:hAnsi="Arial" w:cs="Arial"/>
                    </w:rPr>
                    <w:t xml:space="preserve">Working assumption: </w:t>
                  </w:r>
                </w:p>
                <w:p w:rsidR="00914197" w:rsidRDefault="00914197" w:rsidP="00914197">
                  <w:pPr>
                    <w:pStyle w:val="af3"/>
                    <w:spacing w:after="120" w:line="259" w:lineRule="auto"/>
                    <w:ind w:left="0"/>
                  </w:pPr>
                  <w:r>
                    <w:rPr>
                      <w:rFonts w:ascii="Arial" w:hAnsi="Arial" w:cs="Arial"/>
                    </w:rPr>
                    <w:t>SL DRX should take PSCCH monitoring also for sensing (in addition to data reception) into account if SL DRX is used.</w:t>
                  </w:r>
                </w:p>
              </w:tc>
            </w:tr>
          </w:tbl>
          <w:p w:rsidR="00914197" w:rsidRPr="00511DF0" w:rsidRDefault="00914197" w:rsidP="002A02A8">
            <w:pPr>
              <w:spacing w:before="120" w:afterLines="10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r w:rsidR="00511DF0" w:rsidRPr="0015323A">
              <w:rPr>
                <w:rFonts w:ascii="Arial" w:hAnsi="Arial" w:cs="Arial" w:hint="eastAsia"/>
              </w:rPr>
              <w:t xml:space="preserve">Thus RAN1 has concern on the </w:t>
            </w:r>
            <w:r w:rsidR="00511DF0">
              <w:rPr>
                <w:rFonts w:ascii="Arial" w:hAnsi="Arial" w:cs="Arial" w:hint="eastAsia"/>
              </w:rPr>
              <w:t>WA which may imply that the PSCCH monitoring for sensing should take SL DRX into account and is not allowed during DRX inactive time.</w:t>
            </w:r>
          </w:p>
          <w:p w:rsidR="00914197" w:rsidRPr="00AD6578" w:rsidRDefault="00914197" w:rsidP="00914197">
            <w:pPr>
              <w:pStyle w:val="ac"/>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914197" w:rsidRPr="00AD6578" w:rsidRDefault="00914197" w:rsidP="00914197">
            <w:pPr>
              <w:pStyle w:val="ac"/>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rsidR="00914197" w:rsidRPr="00AD6578" w:rsidRDefault="00914197" w:rsidP="00914197">
            <w:pPr>
              <w:pStyle w:val="ac"/>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914197" w:rsidRPr="00914197" w:rsidRDefault="00914197" w:rsidP="00914197">
            <w:pPr>
              <w:pStyle w:val="ac"/>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rsidR="00046692" w:rsidRDefault="00046692" w:rsidP="006C385B">
      <w:pPr>
        <w:spacing w:before="120" w:after="120"/>
      </w:pPr>
    </w:p>
    <w:tbl>
      <w:tblPr>
        <w:tblStyle w:val="ae"/>
        <w:tblW w:w="0" w:type="auto"/>
        <w:tblLook w:val="04A0"/>
      </w:tblPr>
      <w:tblGrid>
        <w:gridCol w:w="4938"/>
        <w:gridCol w:w="4938"/>
      </w:tblGrid>
      <w:tr w:rsidR="00511DF0" w:rsidTr="00511DF0">
        <w:tc>
          <w:tcPr>
            <w:tcW w:w="4938" w:type="dxa"/>
          </w:tcPr>
          <w:p w:rsidR="00511DF0" w:rsidRPr="00511DF0" w:rsidRDefault="00511DF0" w:rsidP="006C385B">
            <w:pPr>
              <w:spacing w:before="120" w:after="120"/>
              <w:rPr>
                <w:i/>
              </w:rPr>
            </w:pPr>
            <w:r w:rsidRPr="00511DF0">
              <w:rPr>
                <w:rFonts w:hint="eastAsia"/>
                <w:i/>
              </w:rPr>
              <w:lastRenderedPageBreak/>
              <w:t>Company</w:t>
            </w:r>
          </w:p>
        </w:tc>
        <w:tc>
          <w:tcPr>
            <w:tcW w:w="4938" w:type="dxa"/>
          </w:tcPr>
          <w:p w:rsidR="00511DF0" w:rsidRPr="00511DF0" w:rsidRDefault="00511DF0" w:rsidP="006C385B">
            <w:pPr>
              <w:spacing w:before="120" w:after="120"/>
              <w:rPr>
                <w:i/>
              </w:rPr>
            </w:pPr>
            <w:r w:rsidRPr="00511DF0">
              <w:rPr>
                <w:rFonts w:hint="eastAsia"/>
                <w:i/>
              </w:rPr>
              <w:t>View</w:t>
            </w:r>
          </w:p>
        </w:tc>
      </w:tr>
      <w:tr w:rsidR="00511DF0" w:rsidTr="00511DF0">
        <w:tc>
          <w:tcPr>
            <w:tcW w:w="4938" w:type="dxa"/>
          </w:tcPr>
          <w:p w:rsidR="00511DF0" w:rsidRDefault="00511DF0" w:rsidP="006C385B">
            <w:pPr>
              <w:spacing w:before="120" w:after="120"/>
            </w:pPr>
          </w:p>
        </w:tc>
        <w:tc>
          <w:tcPr>
            <w:tcW w:w="4938" w:type="dxa"/>
          </w:tcPr>
          <w:p w:rsidR="00511DF0" w:rsidRDefault="00511DF0" w:rsidP="006C385B">
            <w:pPr>
              <w:spacing w:before="120" w:after="120"/>
            </w:pPr>
          </w:p>
        </w:tc>
      </w:tr>
    </w:tbl>
    <w:p w:rsidR="00511DF0" w:rsidRPr="00511DF0" w:rsidRDefault="00511DF0" w:rsidP="006C385B">
      <w:pPr>
        <w:spacing w:before="120" w:after="120"/>
      </w:pPr>
    </w:p>
    <w:p w:rsidR="00046692" w:rsidRPr="00512903" w:rsidRDefault="00046692" w:rsidP="006C385B">
      <w:pPr>
        <w:spacing w:before="120" w:after="120"/>
      </w:pPr>
    </w:p>
    <w:p w:rsidR="006B7B36" w:rsidRDefault="00E93AC7">
      <w:pPr>
        <w:pStyle w:val="1"/>
        <w:spacing w:before="120" w:after="120"/>
        <w:ind w:left="0"/>
        <w:rPr>
          <w:rFonts w:eastAsia="SimSun"/>
        </w:rPr>
      </w:pPr>
      <w:r>
        <w:rPr>
          <w:rFonts w:eastAsia="SimSun" w:hint="eastAsia"/>
        </w:rPr>
        <w:t>Reference</w:t>
      </w:r>
      <w:r>
        <w:rPr>
          <w:rFonts w:eastAsia="SimSun"/>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r>
      <w:proofErr w:type="spellStart"/>
      <w:r>
        <w:rPr>
          <w:sz w:val="20"/>
          <w:szCs w:val="22"/>
        </w:rPr>
        <w:t>Huawei</w:t>
      </w:r>
      <w:proofErr w:type="spellEnd"/>
      <w:r>
        <w:rPr>
          <w:sz w:val="20"/>
          <w:szCs w:val="22"/>
        </w:rPr>
        <w:t xml:space="preserve">, </w:t>
      </w:r>
      <w:proofErr w:type="spellStart"/>
      <w:r>
        <w:rPr>
          <w:sz w:val="20"/>
          <w:szCs w:val="22"/>
        </w:rPr>
        <w:t>HiSilicon</w:t>
      </w:r>
      <w:proofErr w:type="spellEnd"/>
    </w:p>
    <w:p w:rsidR="006B7B36" w:rsidRDefault="0054426B">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r>
      <w:proofErr w:type="spellStart"/>
      <w:r w:rsidR="00E93AC7">
        <w:rPr>
          <w:sz w:val="20"/>
          <w:szCs w:val="22"/>
        </w:rPr>
        <w:t>Huawei</w:t>
      </w:r>
      <w:proofErr w:type="spellEnd"/>
      <w:r w:rsidR="00E93AC7">
        <w:rPr>
          <w:sz w:val="20"/>
          <w:szCs w:val="22"/>
        </w:rPr>
        <w:t xml:space="preserve">, </w:t>
      </w:r>
      <w:proofErr w:type="spellStart"/>
      <w:r w:rsidR="00E93AC7">
        <w:rPr>
          <w:sz w:val="20"/>
          <w:szCs w:val="22"/>
        </w:rPr>
        <w:t>HiSilicon</w:t>
      </w:r>
      <w:proofErr w:type="spellEnd"/>
    </w:p>
    <w:p w:rsidR="006B7B36" w:rsidRDefault="0054426B">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54426B">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rsidR="006B7B36" w:rsidRDefault="0054426B">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54426B">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54426B">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rsidR="006B7B36" w:rsidRDefault="0054426B">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54426B">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rsidR="006B7B36" w:rsidRDefault="0054426B">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rsidR="006B7B36" w:rsidRDefault="0054426B">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r>
      <w:proofErr w:type="spellStart"/>
      <w:r w:rsidR="00E93AC7">
        <w:rPr>
          <w:sz w:val="20"/>
          <w:szCs w:val="22"/>
        </w:rPr>
        <w:t>Fraunhofer</w:t>
      </w:r>
      <w:proofErr w:type="spellEnd"/>
      <w:r w:rsidR="00E93AC7">
        <w:rPr>
          <w:sz w:val="20"/>
          <w:szCs w:val="22"/>
        </w:rPr>
        <w:t xml:space="preserve"> HHI, </w:t>
      </w:r>
      <w:proofErr w:type="spellStart"/>
      <w:r w:rsidR="00E93AC7">
        <w:rPr>
          <w:sz w:val="20"/>
          <w:szCs w:val="22"/>
        </w:rPr>
        <w:t>Fraunhofer</w:t>
      </w:r>
      <w:proofErr w:type="spellEnd"/>
      <w:r w:rsidR="00E93AC7">
        <w:rPr>
          <w:sz w:val="20"/>
          <w:szCs w:val="22"/>
        </w:rPr>
        <w:t xml:space="preserve"> IIS</w:t>
      </w:r>
    </w:p>
    <w:p w:rsidR="006B7B36" w:rsidRDefault="0054426B">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rsidR="006B7B36" w:rsidRDefault="0054426B">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rsidR="006B7B36" w:rsidRDefault="0054426B">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54426B">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rsidR="006B7B36" w:rsidRDefault="0054426B">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54426B">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54426B">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rsidR="006B7B36" w:rsidRDefault="0054426B">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rsidR="006B7B36" w:rsidRDefault="0054426B">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54426B">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54426B">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r>
      <w:proofErr w:type="spellStart"/>
      <w:r w:rsidR="00E93AC7">
        <w:rPr>
          <w:sz w:val="20"/>
          <w:szCs w:val="22"/>
        </w:rPr>
        <w:t>MediaTek</w:t>
      </w:r>
      <w:proofErr w:type="spellEnd"/>
      <w:r w:rsidR="00E93AC7">
        <w:rPr>
          <w:sz w:val="20"/>
          <w:szCs w:val="22"/>
        </w:rPr>
        <w:t xml:space="preserve"> Inc.</w:t>
      </w:r>
    </w:p>
    <w:p w:rsidR="006B7B36" w:rsidRDefault="0054426B">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54426B">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rsidR="006B7B36" w:rsidRDefault="0054426B">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rsidR="006B7B36" w:rsidRDefault="0054426B">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54426B">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rsidR="006B7B36" w:rsidRDefault="0054426B">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r>
      <w:proofErr w:type="spellStart"/>
      <w:r w:rsidR="00E93AC7">
        <w:rPr>
          <w:sz w:val="20"/>
          <w:szCs w:val="22"/>
        </w:rPr>
        <w:t>Xiaomi</w:t>
      </w:r>
      <w:proofErr w:type="spellEnd"/>
    </w:p>
    <w:p w:rsidR="006B7B36" w:rsidRDefault="0054426B">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54426B">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54426B">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54426B">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54426B">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rsidR="006B7B36" w:rsidRDefault="0054426B">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SimSun"/>
        </w:rPr>
      </w:pPr>
      <w:r>
        <w:rPr>
          <w:rFonts w:eastAsia="SimSun"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2A02A8">
      <w:pPr>
        <w:pStyle w:val="af3"/>
        <w:numPr>
          <w:ilvl w:val="0"/>
          <w:numId w:val="8"/>
        </w:numPr>
        <w:spacing w:beforeLines="5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rsidR="006B7B36" w:rsidRDefault="00E93AC7">
      <w:pPr>
        <w:pStyle w:val="af3"/>
        <w:numPr>
          <w:ilvl w:val="0"/>
          <w:numId w:val="9"/>
        </w:numPr>
        <w:spacing w:afterLines="0"/>
        <w:contextualSpacing w:val="0"/>
        <w:rPr>
          <w:rFonts w:eastAsia="Malgun Gothic"/>
          <w:bCs/>
          <w:i/>
        </w:rPr>
      </w:pPr>
      <w:r>
        <w:rPr>
          <w:rFonts w:eastAsia="Malgun Gothic"/>
          <w:bCs/>
          <w:i/>
        </w:rPr>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rsidR="006B7B36" w:rsidRDefault="00E93AC7">
      <w:pPr>
        <w:pStyle w:val="af3"/>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rsidR="006B7B36" w:rsidRDefault="00E93AC7">
      <w:pPr>
        <w:spacing w:before="120" w:after="120"/>
        <w:rPr>
          <w:i/>
        </w:rPr>
      </w:pPr>
      <w:r>
        <w:rPr>
          <w:rFonts w:hint="eastAsia"/>
          <w:i/>
        </w:rPr>
        <w:lastRenderedPageBreak/>
        <w:t>R1-2107958</w:t>
      </w:r>
    </w:p>
    <w:p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r w:rsidRPr="0054426B">
        <w:rPr>
          <w:sz w:val="21"/>
          <w:szCs w:val="22"/>
        </w:rPr>
        <w:fldChar w:fldCharType="begin"/>
      </w:r>
      <w:r w:rsidR="00E93AC7">
        <w:rPr>
          <w:sz w:val="21"/>
          <w:szCs w:val="22"/>
        </w:rPr>
        <w:instrText>TOC \n  \t "YJ-Observation,1,sub-observation,2" \h</w:instrText>
      </w:r>
      <w:r w:rsidRPr="0054426B">
        <w:rPr>
          <w:sz w:val="21"/>
          <w:szCs w:val="22"/>
        </w:rPr>
        <w:fldChar w:fldCharType="separate"/>
      </w:r>
      <w:hyperlink w:anchor="_Toc79167941" w:history="1">
        <w:r w:rsidR="00E93AC7">
          <w:rPr>
            <w:rStyle w:val="af1"/>
            <w:rFonts w:eastAsia="SimSun"/>
          </w:rPr>
          <w:t>Observation 1:</w:t>
        </w:r>
        <w:r w:rsidR="00E93AC7">
          <w:rPr>
            <w:rFonts w:asciiTheme="minorHAnsi" w:hAnsiTheme="minorHAnsi" w:cstheme="minorBidi"/>
            <w:b w:val="0"/>
            <w:i w:val="0"/>
            <w:sz w:val="21"/>
            <w:szCs w:val="22"/>
          </w:rPr>
          <w:tab/>
        </w:r>
        <w:r w:rsidR="00E93AC7">
          <w:rPr>
            <w:rStyle w:val="af1"/>
          </w:rPr>
          <w:t xml:space="preserve">The </w:t>
        </w:r>
        <w:r w:rsidR="00E93AC7">
          <w:rPr>
            <w:rStyle w:val="af1"/>
            <w:lang w:eastAsia="ko-KR"/>
          </w:rPr>
          <w:t>granularity of SL DRX operation</w:t>
        </w:r>
        <w:r w:rsidR="00E93AC7">
          <w:rPr>
            <w:rStyle w:val="af1"/>
          </w:rPr>
          <w:t xml:space="preserve"> could be </w:t>
        </w:r>
        <w:r w:rsidR="00E93AC7">
          <w:rPr>
            <w:rStyle w:val="af1"/>
            <w:lang w:eastAsia="ko-KR"/>
          </w:rPr>
          <w:t>per a pair of source/destination</w:t>
        </w:r>
        <w:r w:rsidR="00E93AC7">
          <w:rPr>
            <w:rStyle w:val="af1"/>
          </w:rPr>
          <w:t xml:space="preserve">, or per </w:t>
        </w:r>
        <w:r w:rsidR="00E93AC7">
          <w:rPr>
            <w:rStyle w:val="af1"/>
            <w:lang w:eastAsia="ko-KR"/>
          </w:rPr>
          <w:t>cast type</w:t>
        </w:r>
        <w:r w:rsidR="00E93AC7">
          <w:rPr>
            <w:rStyle w:val="af1"/>
          </w:rPr>
          <w:t xml:space="preserve">, or per </w:t>
        </w:r>
        <w:r w:rsidR="00E93AC7">
          <w:rPr>
            <w:rStyle w:val="af1"/>
            <w:lang w:eastAsia="ko-KR"/>
          </w:rPr>
          <w:t>L2 destination ID</w:t>
        </w:r>
        <w:r w:rsidR="00E93AC7">
          <w:rPr>
            <w:rStyle w:val="af1"/>
          </w:rPr>
          <w:t>.</w:t>
        </w:r>
      </w:hyperlink>
    </w:p>
    <w:p w:rsidR="006B7B36" w:rsidRDefault="0054426B">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1"/>
            <w:rFonts w:eastAsia="SimSun"/>
          </w:rPr>
          <w:t>Observation 2:</w:t>
        </w:r>
        <w:r w:rsidR="00E93AC7">
          <w:rPr>
            <w:rFonts w:asciiTheme="minorHAnsi" w:hAnsiTheme="minorHAnsi" w:cstheme="minorBidi"/>
            <w:b w:val="0"/>
            <w:i w:val="0"/>
            <w:sz w:val="21"/>
            <w:szCs w:val="22"/>
          </w:rPr>
          <w:tab/>
        </w:r>
        <w:r w:rsidR="00E93AC7">
          <w:rPr>
            <w:rStyle w:val="af1"/>
          </w:rPr>
          <w:t>The SL DRX configurations can be obtained from pre-configuration,SIB ,dedicated-RRC or PC5-RRC.</w:t>
        </w:r>
      </w:hyperlink>
    </w:p>
    <w:p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1"/>
            <w:rFonts w:eastAsia="SimSun"/>
          </w:rPr>
          <w:t>Observation 3:</w:t>
        </w:r>
        <w:r w:rsidR="00E93AC7">
          <w:rPr>
            <w:rFonts w:asciiTheme="minorHAnsi" w:hAnsiTheme="minorHAnsi" w:cstheme="minorBidi"/>
            <w:b w:val="0"/>
            <w:i w:val="0"/>
            <w:sz w:val="21"/>
            <w:szCs w:val="22"/>
          </w:rPr>
          <w:tab/>
        </w:r>
        <w:r w:rsidR="00E93AC7">
          <w:rPr>
            <w:rStyle w:val="af1"/>
          </w:rPr>
          <w:t>For one UE, more than one SL DRX configurations would be configured.</w:t>
        </w:r>
      </w:hyperlink>
    </w:p>
    <w:p w:rsidR="006B7B36" w:rsidRDefault="0054426B">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1"/>
            <w:rFonts w:eastAsia="SimSun"/>
          </w:rPr>
          <w:t>Observation 4:</w:t>
        </w:r>
        <w:r w:rsidR="00E93AC7">
          <w:rPr>
            <w:rFonts w:asciiTheme="minorHAnsi" w:hAnsiTheme="minorHAnsi" w:cstheme="minorBidi"/>
            <w:b w:val="0"/>
            <w:i w:val="0"/>
            <w:sz w:val="21"/>
            <w:szCs w:val="22"/>
          </w:rPr>
          <w:tab/>
        </w:r>
        <w:r w:rsidR="00E93AC7">
          <w:rPr>
            <w:rStyle w:val="af1"/>
          </w:rPr>
          <w:t>For unicast, the SL DRX for both Tx UE and RX UE can be acquired by one UE.</w:t>
        </w:r>
      </w:hyperlink>
    </w:p>
    <w:p w:rsidR="006B7B36" w:rsidRDefault="0054426B">
      <w:pPr>
        <w:pStyle w:val="10"/>
        <w:tabs>
          <w:tab w:val="left" w:pos="1282"/>
          <w:tab w:val="right" w:leader="dot" w:pos="9650"/>
        </w:tabs>
        <w:spacing w:before="120" w:after="120"/>
      </w:pPr>
      <w:r>
        <w:rPr>
          <w:i w:val="0"/>
          <w:szCs w:val="22"/>
        </w:rPr>
        <w:fldChar w:fldCharType="end"/>
      </w:r>
      <w:r w:rsidRPr="0054426B">
        <w:fldChar w:fldCharType="begin"/>
      </w:r>
      <w:r w:rsidR="00E93AC7">
        <w:instrText>TOC \n  \t "YJ-Proposal,1,subullet,2,subsub,3"</w:instrText>
      </w:r>
      <w:r w:rsidRPr="0054426B">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rsidR="006B7B36" w:rsidRDefault="00E93AC7" w:rsidP="002A02A8">
      <w:pPr>
        <w:spacing w:before="120" w:afterLines="10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3"/>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3"/>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2A02A8">
      <w:pPr>
        <w:spacing w:before="120" w:afterLines="10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R1-2108128,R1-2108133</w:t>
      </w:r>
    </w:p>
    <w:p w:rsidR="006B7B36" w:rsidRDefault="00E93AC7" w:rsidP="002A02A8">
      <w:pPr>
        <w:spacing w:before="120" w:afterLines="10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2A02A8">
      <w:pPr>
        <w:spacing w:before="120" w:afterLines="10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6"/>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54426B">
      <w:pPr>
        <w:pStyle w:val="a6"/>
        <w:rPr>
          <w:rFonts w:asciiTheme="minorHAnsi" w:eastAsiaTheme="minorEastAsia" w:hAnsiTheme="minorHAnsi" w:cstheme="minorBidi"/>
          <w:b/>
          <w:sz w:val="22"/>
          <w:szCs w:val="22"/>
        </w:rPr>
      </w:pPr>
      <w:r w:rsidRPr="0054426B">
        <w:rPr>
          <w:rFonts w:ascii="Arial" w:hAnsi="Arial"/>
          <w:b/>
          <w:bCs/>
        </w:rPr>
        <w:fldChar w:fldCharType="begin"/>
      </w:r>
      <w:r w:rsidR="00E93AC7">
        <w:rPr>
          <w:bCs/>
        </w:rPr>
        <w:instrText xml:space="preserve"> TOC \n \h \z \t "Proposal" \c </w:instrText>
      </w:r>
      <w:r w:rsidRPr="0054426B">
        <w:rPr>
          <w:rFonts w:ascii="Arial" w:hAnsi="Arial"/>
          <w:b/>
          <w:bCs/>
        </w:rPr>
        <w:fldChar w:fldCharType="separate"/>
      </w:r>
      <w:hyperlink w:anchor="_Toc79153246" w:history="1">
        <w:r w:rsidR="00E93AC7">
          <w:rPr>
            <w:rStyle w:val="af1"/>
          </w:rPr>
          <w:t>Proposal 1</w:t>
        </w:r>
        <w:r w:rsidR="00E93AC7">
          <w:rPr>
            <w:rStyle w:val="af1"/>
            <w:rFonts w:hint="eastAsia"/>
          </w:rPr>
          <w:t xml:space="preserve"> </w:t>
        </w:r>
        <w:r w:rsidR="00E93AC7">
          <w:rPr>
            <w:rFonts w:asciiTheme="minorHAnsi" w:eastAsiaTheme="minorEastAsia" w:hAnsiTheme="minorHAnsi" w:cstheme="minorBidi"/>
            <w:sz w:val="22"/>
            <w:szCs w:val="22"/>
          </w:rPr>
          <w:tab/>
        </w:r>
        <w:r w:rsidR="00E93AC7">
          <w:rPr>
            <w:rStyle w:val="af1"/>
          </w:rPr>
          <w:t xml:space="preserve">A UE shall perform sensing during its SL-DRX Active Time. </w:t>
        </w:r>
        <w:r w:rsidR="00E93AC7">
          <w:rPr>
            <w:rStyle w:val="af1"/>
            <w:rFonts w:eastAsia="SimSun"/>
          </w:rPr>
          <w:t>It is up to UE implementation to perform SL reception of PSCCH and RSRP measurement for sensing during its SL DRX inactive time.</w:t>
        </w:r>
      </w:hyperlink>
    </w:p>
    <w:p w:rsidR="006B7B36" w:rsidRDefault="0054426B">
      <w:pPr>
        <w:spacing w:before="120" w:after="120"/>
        <w:rPr>
          <w:i/>
        </w:rPr>
      </w:pPr>
      <w:r>
        <w:fldChar w:fldCharType="end"/>
      </w:r>
    </w:p>
    <w:p w:rsidR="006B7B36" w:rsidRDefault="00E93AC7">
      <w:pPr>
        <w:spacing w:before="120" w:after="120"/>
        <w:rPr>
          <w:i/>
        </w:rPr>
      </w:pPr>
      <w:r>
        <w:rPr>
          <w:rFonts w:hint="eastAsia"/>
          <w:i/>
        </w:rPr>
        <w:lastRenderedPageBreak/>
        <w:t>R1-2108178,R1-2108179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rsidR="006B7B36" w:rsidRDefault="00E93AC7">
      <w:pPr>
        <w:pStyle w:val="af3"/>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lastRenderedPageBreak/>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 xml:space="preserve">Proposal 5: In the case of Mode 2, we propose that the RX UE aligns its partial sensing occasions according to the received SL DRX configurations, either from the TX UE in the case of </w:t>
      </w:r>
      <w:proofErr w:type="spellStart"/>
      <w:r>
        <w:rPr>
          <w:b/>
          <w:bCs/>
        </w:rPr>
        <w:t>unicast</w:t>
      </w:r>
      <w:proofErr w:type="spellEnd"/>
      <w:r>
        <w:rPr>
          <w:b/>
          <w:bCs/>
        </w:rPr>
        <w:t xml:space="preserve">, or from pre-configuration in the case of </w:t>
      </w:r>
      <w:proofErr w:type="spellStart"/>
      <w:r>
        <w:rPr>
          <w:b/>
          <w:bCs/>
        </w:rPr>
        <w:t>groupcast</w:t>
      </w:r>
      <w:proofErr w:type="spellEnd"/>
      <w:r>
        <w:rPr>
          <w:b/>
          <w:bCs/>
        </w:rPr>
        <w:t xml:space="preserve">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rsidR="006B7B36" w:rsidRDefault="00E93AC7">
      <w:pPr>
        <w:spacing w:before="120" w:after="120"/>
        <w:rPr>
          <w:i/>
        </w:rPr>
      </w:pPr>
      <w:r>
        <w:rPr>
          <w:rFonts w:hint="eastAsia"/>
          <w:i/>
        </w:rPr>
        <w:lastRenderedPageBreak/>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 xml:space="preserve">Proposal 6:  Additional DRX configuration can be configured for </w:t>
      </w:r>
      <w:proofErr w:type="spellStart"/>
      <w:r>
        <w:rPr>
          <w:b/>
          <w:bCs/>
        </w:rPr>
        <w:t>Tx</w:t>
      </w:r>
      <w:proofErr w:type="spellEnd"/>
      <w:r>
        <w:rPr>
          <w:b/>
          <w:bCs/>
        </w:rPr>
        <w:t xml:space="preserve">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6"/>
        <w:spacing w:before="120" w:after="120"/>
        <w:rPr>
          <w:rFonts w:eastAsia="SimSun"/>
          <w:b/>
          <w:bCs/>
        </w:rPr>
      </w:pPr>
      <w:r>
        <w:rPr>
          <w:rFonts w:eastAsia="SimSun" w:hint="eastAsia"/>
          <w:b/>
          <w:bCs/>
        </w:rPr>
        <w:t>O</w:t>
      </w:r>
      <w:r>
        <w:rPr>
          <w:rFonts w:eastAsia="SimSun"/>
          <w:b/>
          <w:bCs/>
        </w:rPr>
        <w:t>bservation 3: If sensing is performed within DRX active time only, that will affect sensing accuracy and re-evaluation/pre-emption are not applicable in some cases.</w:t>
      </w:r>
    </w:p>
    <w:p w:rsidR="006B7B36" w:rsidRDefault="00E93AC7">
      <w:pPr>
        <w:pStyle w:val="a6"/>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rsidR="006B7B36" w:rsidRDefault="00E93AC7">
      <w:pPr>
        <w:pStyle w:val="a6"/>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rsidR="006B7B36" w:rsidRDefault="00E93AC7">
      <w:pPr>
        <w:pStyle w:val="a6"/>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rsidR="006B7B36" w:rsidRDefault="00E93AC7">
      <w:pPr>
        <w:pStyle w:val="a6"/>
        <w:spacing w:before="120" w:after="120"/>
        <w:rPr>
          <w:rFonts w:eastAsia="SimSun"/>
          <w:b/>
          <w:bCs/>
        </w:rPr>
      </w:pPr>
      <w:r>
        <w:rPr>
          <w:rFonts w:eastAsia="SimSun"/>
          <w:b/>
          <w:bCs/>
        </w:rPr>
        <w:t xml:space="preserve">Proposal 16: If SL DRX is configured, some enhancements of mode 2 resource selection procedure should be further studied. </w:t>
      </w:r>
    </w:p>
    <w:p w:rsidR="006B7B36" w:rsidRDefault="00E93AC7">
      <w:pPr>
        <w:pStyle w:val="a6"/>
        <w:spacing w:before="120" w:after="120"/>
        <w:rPr>
          <w:rFonts w:eastAsia="SimSun"/>
          <w:b/>
          <w:bCs/>
        </w:rPr>
      </w:pPr>
      <w:r>
        <w:rPr>
          <w:rFonts w:eastAsia="SimSun"/>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 xml:space="preserve">Proposal 13: For </w:t>
      </w:r>
      <w:proofErr w:type="spellStart"/>
      <w:r>
        <w:rPr>
          <w:b/>
          <w:bCs/>
        </w:rPr>
        <w:t>unicast</w:t>
      </w:r>
      <w:proofErr w:type="spellEnd"/>
      <w:r>
        <w:rPr>
          <w:b/>
          <w:bCs/>
        </w:rPr>
        <w:t xml:space="preserve"> and </w:t>
      </w:r>
      <w:proofErr w:type="spellStart"/>
      <w:r>
        <w:rPr>
          <w:b/>
          <w:bCs/>
        </w:rPr>
        <w:t>groupcast</w:t>
      </w:r>
      <w:proofErr w:type="spellEnd"/>
      <w:r>
        <w:rPr>
          <w:b/>
          <w:bCs/>
        </w:rPr>
        <w:t xml:space="preserve">, the </w:t>
      </w:r>
      <w:proofErr w:type="spellStart"/>
      <w:r>
        <w:rPr>
          <w:b/>
          <w:bCs/>
        </w:rPr>
        <w:t>Tx</w:t>
      </w:r>
      <w:proofErr w:type="spellEnd"/>
      <w:r>
        <w:rPr>
          <w:b/>
          <w:bCs/>
        </w:rPr>
        <w:t xml:space="preserve">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54426B">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54426B">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lastRenderedPageBreak/>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w:t>
      </w:r>
      <w:proofErr w:type="spellStart"/>
      <w:r>
        <w:rPr>
          <w:rFonts w:ascii="Calibri" w:hAnsi="Calibri"/>
          <w:i/>
          <w:iCs/>
          <w:sz w:val="22"/>
          <w:szCs w:val="22"/>
        </w:rPr>
        <w:t>deprioritizes</w:t>
      </w:r>
      <w:proofErr w:type="spellEnd"/>
      <w:r>
        <w:rPr>
          <w:rFonts w:ascii="Calibri" w:hAnsi="Calibri"/>
          <w:i/>
          <w:iCs/>
          <w:sz w:val="22"/>
          <w:szCs w:val="22"/>
        </w:rPr>
        <w:t xml:space="preserve">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54426B">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The design of SL DRX cycle needs to ensure that UE partial sensing behavior is respected (i.e. UE wake up time intervals for the purpose of partial sensing need to be aligned with On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54426B">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54426B">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 xml:space="preserve">Proposal 12: Support the </w:t>
      </w:r>
      <w:proofErr w:type="spellStart"/>
      <w:r>
        <w:rPr>
          <w:b/>
          <w:bCs/>
          <w:color w:val="000000"/>
          <w:szCs w:val="21"/>
        </w:rPr>
        <w:t>Tx</w:t>
      </w:r>
      <w:proofErr w:type="spellEnd"/>
      <w:r>
        <w:rPr>
          <w:b/>
          <w:bCs/>
          <w:color w:val="000000"/>
          <w:szCs w:val="21"/>
        </w:rPr>
        <w:t xml:space="preserve"> UE to preclude resources that are not within the time slots of Rx UE DRX on duration.</w:t>
      </w:r>
    </w:p>
    <w:p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rsidR="006B7B36" w:rsidRDefault="0054426B">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3C4" w:rsidRDefault="004833C4">
      <w:pPr>
        <w:spacing w:before="120" w:after="120" w:line="240" w:lineRule="auto"/>
      </w:pPr>
      <w:r>
        <w:separator/>
      </w:r>
    </w:p>
  </w:endnote>
  <w:endnote w:type="continuationSeparator" w:id="0">
    <w:p w:rsidR="004833C4" w:rsidRDefault="004833C4">
      <w:pPr>
        <w:spacing w:before="120" w:after="12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Hei">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197" w:rsidRDefault="00914197">
    <w:pPr>
      <w:pStyle w:val="a8"/>
      <w:spacing w:before="120" w:after="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5056"/>
    </w:sdtPr>
    <w:sdtContent>
      <w:p w:rsidR="00914197" w:rsidRDefault="0054426B">
        <w:pPr>
          <w:pStyle w:val="a8"/>
          <w:spacing w:before="120" w:after="120"/>
          <w:jc w:val="center"/>
        </w:pPr>
        <w:fldSimple w:instr=" PAGE   \* MERGEFORMAT ">
          <w:r w:rsidR="002A02A8">
            <w:rPr>
              <w:noProof/>
            </w:rPr>
            <w:t>12</w:t>
          </w:r>
        </w:fldSimple>
      </w:p>
    </w:sdtContent>
  </w:sdt>
  <w:p w:rsidR="00914197" w:rsidRDefault="00914197">
    <w:pPr>
      <w:pStyle w:val="a8"/>
      <w:spacing w:before="120" w:after="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197" w:rsidRDefault="00914197">
    <w:pPr>
      <w:pStyle w:val="a8"/>
      <w:spacing w:before="120" w:after="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3C4" w:rsidRDefault="004833C4">
      <w:pPr>
        <w:spacing w:before="120" w:after="120" w:line="240" w:lineRule="auto"/>
      </w:pPr>
      <w:r>
        <w:separator/>
      </w:r>
    </w:p>
  </w:footnote>
  <w:footnote w:type="continuationSeparator" w:id="0">
    <w:p w:rsidR="004833C4" w:rsidRDefault="004833C4">
      <w:pPr>
        <w:spacing w:before="120" w:after="12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197" w:rsidRDefault="00914197">
    <w:pPr>
      <w:pStyle w:val="a9"/>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197" w:rsidRDefault="00914197">
    <w:pPr>
      <w:pStyle w:val="a9"/>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197" w:rsidRDefault="00914197">
    <w:pPr>
      <w:pStyle w:val="a9"/>
      <w:spacing w:before="120" w:after="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nsid w:val="0479C12C"/>
    <w:multiLevelType w:val="singleLevel"/>
    <w:tmpl w:val="0479C12C"/>
    <w:lvl w:ilvl="0">
      <w:start w:val="1"/>
      <w:numFmt w:val="decimal"/>
      <w:suff w:val="space"/>
      <w:lvlText w:val="%1."/>
      <w:lvlJc w:val="left"/>
    </w:lvl>
  </w:abstractNum>
  <w:abstractNum w:abstractNumId="3">
    <w:nsid w:val="0BDD5F2B"/>
    <w:multiLevelType w:val="multilevel"/>
    <w:tmpl w:val="0BDD5F2B"/>
    <w:lvl w:ilvl="0">
      <w:start w:val="1"/>
      <w:numFmt w:val="decimal"/>
      <w:pStyle w:val="1"/>
      <w:suff w:val="nothing"/>
      <w:lvlText w:val="%1  "/>
      <w:lvlJc w:val="left"/>
      <w:pPr>
        <w:ind w:left="4962" w:firstLine="0"/>
      </w:pPr>
      <w:rPr>
        <w:rFonts w:ascii="Arial" w:eastAsia="SimHei"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4">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8">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0"/>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oNotDisplayPageBoundaries/>
  <w:bordersDoNotSurroundHeader/>
  <w:bordersDoNotSurroundFooter/>
  <w:proofState w:spelling="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1126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43175"/>
    <w:rsid w:val="00444EA5"/>
    <w:rsid w:val="00447360"/>
    <w:rsid w:val="004473B1"/>
    <w:rsid w:val="00450ED2"/>
    <w:rsid w:val="00456CF0"/>
    <w:rsid w:val="00461F47"/>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FCB"/>
    <w:rsid w:val="00AD6578"/>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081A"/>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toc 1" w:semiHidden="0" w:uiPriority="39" w:qFormat="1"/>
    <w:lsdException w:name="toc 2" w:semiHidden="0" w:uiPriority="39" w:qFormat="1"/>
    <w:lsdException w:name="toc 3" w:semiHidden="0" w:uiPriority="39" w:qFormat="1"/>
    <w:lsdException w:name="annotation text" w:semiHidden="0" w:qFormat="1"/>
    <w:lsdException w:name="header" w:uiPriority="0" w:unhideWhenUsed="0" w:qFormat="1"/>
    <w:lsdException w:name="footer" w:semiHidden="0" w:qFormat="1"/>
    <w:lsdException w:name="caption" w:semiHidden="0" w:uiPriority="0" w:unhideWhenUsed="0" w:qFormat="1"/>
    <w:lsdException w:name="table of figures" w:semiHidden="0" w:qFormat="1"/>
    <w:lsdException w:name="annotation reference" w:semiHidden="0" w:qFormat="1"/>
    <w:lsdException w:name="List" w:semiHidden="0" w:uiPriority="0" w:unhideWhenUsed="0" w:qFormat="1"/>
    <w:lsdException w:name="Title" w:semiHidden="0" w:unhideWhenUsed="0"/>
    <w:lsdException w:name="Default Paragraph Font" w:uiPriority="1"/>
    <w:lsdException w:name="Body Text" w:semiHidden="0" w:uiPriority="0" w:qFormat="1"/>
    <w:lsdException w:name="Subtitle" w:semiHidden="0" w:unhideWhenUsed="0"/>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Char"/>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Char"/>
    <w:qFormat/>
    <w:rsid w:val="001B35BF"/>
    <w:pPr>
      <w:numPr>
        <w:ilvl w:val="2"/>
      </w:numPr>
      <w:spacing w:before="120"/>
      <w:ind w:left="0"/>
      <w:outlineLvl w:val="2"/>
    </w:pPr>
    <w:rPr>
      <w:sz w:val="24"/>
    </w:rPr>
  </w:style>
  <w:style w:type="paragraph" w:styleId="4">
    <w:name w:val="heading 4"/>
    <w:basedOn w:val="3"/>
    <w:next w:val="a"/>
    <w:link w:val="4Char"/>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Char"/>
    <w:uiPriority w:val="99"/>
    <w:semiHidden/>
    <w:unhideWhenUsed/>
    <w:qFormat/>
    <w:rsid w:val="001B35BF"/>
    <w:rPr>
      <w:rFonts w:ascii="SimSun"/>
      <w:sz w:val="18"/>
      <w:szCs w:val="18"/>
    </w:rPr>
  </w:style>
  <w:style w:type="paragraph" w:styleId="a5">
    <w:name w:val="annotation text"/>
    <w:basedOn w:val="a"/>
    <w:link w:val="Char0"/>
    <w:uiPriority w:val="99"/>
    <w:unhideWhenUsed/>
    <w:qFormat/>
    <w:rsid w:val="001B35BF"/>
    <w:pPr>
      <w:spacing w:before="120" w:after="120"/>
      <w:jc w:val="left"/>
    </w:pPr>
  </w:style>
  <w:style w:type="paragraph" w:styleId="a6">
    <w:name w:val="Body Text"/>
    <w:basedOn w:val="a"/>
    <w:link w:val="Char1"/>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0">
    <w:name w:val="toc 3"/>
    <w:basedOn w:val="a"/>
    <w:next w:val="a"/>
    <w:uiPriority w:val="39"/>
    <w:unhideWhenUsed/>
    <w:qFormat/>
    <w:rsid w:val="001B35BF"/>
    <w:pPr>
      <w:adjustRightInd w:val="0"/>
      <w:ind w:leftChars="400" w:left="1282" w:hangingChars="200" w:hanging="442"/>
    </w:pPr>
    <w:rPr>
      <w:b/>
      <w:i/>
      <w:sz w:val="20"/>
    </w:rPr>
  </w:style>
  <w:style w:type="paragraph" w:styleId="a7">
    <w:name w:val="Balloon Text"/>
    <w:basedOn w:val="a"/>
    <w:link w:val="Char2"/>
    <w:uiPriority w:val="99"/>
    <w:semiHidden/>
    <w:unhideWhenUsed/>
    <w:qFormat/>
    <w:rsid w:val="001B35BF"/>
    <w:pPr>
      <w:spacing w:line="240" w:lineRule="auto"/>
    </w:pPr>
    <w:rPr>
      <w:sz w:val="18"/>
      <w:szCs w:val="18"/>
    </w:rPr>
  </w:style>
  <w:style w:type="paragraph" w:styleId="a8">
    <w:name w:val="footer"/>
    <w:basedOn w:val="a"/>
    <w:link w:val="Char3"/>
    <w:uiPriority w:val="99"/>
    <w:unhideWhenUsed/>
    <w:qFormat/>
    <w:rsid w:val="001B35BF"/>
    <w:pPr>
      <w:tabs>
        <w:tab w:val="center" w:pos="4153"/>
        <w:tab w:val="right" w:pos="8306"/>
      </w:tabs>
      <w:snapToGrid w:val="0"/>
      <w:jc w:val="left"/>
    </w:pPr>
    <w:rPr>
      <w:sz w:val="18"/>
      <w:szCs w:val="18"/>
    </w:rPr>
  </w:style>
  <w:style w:type="paragraph" w:styleId="a9">
    <w:name w:val="header"/>
    <w:basedOn w:val="a"/>
    <w:link w:val="Char4"/>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a">
    <w:name w:val="List"/>
    <w:basedOn w:val="a"/>
    <w:qFormat/>
    <w:rsid w:val="001B35BF"/>
    <w:pPr>
      <w:ind w:left="568" w:hanging="284"/>
    </w:pPr>
  </w:style>
  <w:style w:type="paragraph" w:styleId="ab">
    <w:name w:val="table of figures"/>
    <w:basedOn w:val="a"/>
    <w:next w:val="a"/>
    <w:uiPriority w:val="99"/>
    <w:unhideWhenUsed/>
    <w:qFormat/>
    <w:rsid w:val="001B35BF"/>
    <w:pPr>
      <w:ind w:leftChars="200" w:left="200" w:hangingChars="200" w:hanging="200"/>
    </w:pPr>
  </w:style>
  <w:style w:type="paragraph" w:styleId="20">
    <w:name w:val="toc 2"/>
    <w:basedOn w:val="a"/>
    <w:next w:val="a"/>
    <w:uiPriority w:val="39"/>
    <w:unhideWhenUsed/>
    <w:qFormat/>
    <w:rsid w:val="001B35BF"/>
    <w:pPr>
      <w:ind w:leftChars="200" w:left="420"/>
    </w:pPr>
    <w:rPr>
      <w:b/>
      <w:i/>
      <w:sz w:val="20"/>
    </w:rPr>
  </w:style>
  <w:style w:type="paragraph" w:styleId="ac">
    <w:name w:val="Normal (Web)"/>
    <w:basedOn w:val="a"/>
    <w:uiPriority w:val="99"/>
    <w:unhideWhenUsed/>
    <w:qFormat/>
    <w:rsid w:val="001B35BF"/>
    <w:pPr>
      <w:spacing w:beforeAutospacing="1" w:afterAutospacing="1"/>
      <w:jc w:val="left"/>
    </w:pPr>
    <w:rPr>
      <w:kern w:val="0"/>
      <w:sz w:val="24"/>
    </w:rPr>
  </w:style>
  <w:style w:type="paragraph" w:styleId="ad">
    <w:name w:val="annotation subject"/>
    <w:basedOn w:val="a5"/>
    <w:next w:val="a5"/>
    <w:link w:val="Char5"/>
    <w:uiPriority w:val="99"/>
    <w:semiHidden/>
    <w:unhideWhenUsed/>
    <w:qFormat/>
    <w:rsid w:val="001B35BF"/>
    <w:rPr>
      <w:b/>
      <w:bCs/>
    </w:rPr>
  </w:style>
  <w:style w:type="table" w:styleId="ae">
    <w:name w:val="Table Grid"/>
    <w:basedOn w:val="a1"/>
    <w:uiPriority w:val="59"/>
    <w:qFormat/>
    <w:rsid w:val="001B35BF"/>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1B35BF"/>
    <w:rPr>
      <w:b/>
      <w:bCs/>
    </w:rPr>
  </w:style>
  <w:style w:type="character" w:styleId="af0">
    <w:name w:val="Emphasis"/>
    <w:basedOn w:val="a0"/>
    <w:uiPriority w:val="20"/>
    <w:qFormat/>
    <w:rsid w:val="001B35BF"/>
    <w:rPr>
      <w:i/>
    </w:rPr>
  </w:style>
  <w:style w:type="character" w:styleId="af1">
    <w:name w:val="Hyperlink"/>
    <w:uiPriority w:val="99"/>
    <w:qFormat/>
    <w:rsid w:val="001B35BF"/>
    <w:rPr>
      <w:color w:val="0000FF"/>
      <w:u w:val="single"/>
    </w:rPr>
  </w:style>
  <w:style w:type="character" w:styleId="af2">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3">
    <w:name w:val="List Paragraph"/>
    <w:basedOn w:val="a"/>
    <w:link w:val="Char6"/>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Char4">
    <w:name w:val="页眉 Char"/>
    <w:basedOn w:val="a0"/>
    <w:link w:val="a9"/>
    <w:semiHidden/>
    <w:qFormat/>
    <w:rsid w:val="001B35BF"/>
    <w:rPr>
      <w:rFonts w:eastAsia="SimSun"/>
      <w:kern w:val="2"/>
      <w:sz w:val="21"/>
    </w:rPr>
  </w:style>
  <w:style w:type="character" w:customStyle="1" w:styleId="Char3">
    <w:name w:val="页脚 Char"/>
    <w:basedOn w:val="a0"/>
    <w:link w:val="a8"/>
    <w:uiPriority w:val="99"/>
    <w:qFormat/>
    <w:rsid w:val="001B35BF"/>
    <w:rPr>
      <w:rFonts w:eastAsia="SimSun"/>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SimSun"/>
    </w:rPr>
  </w:style>
  <w:style w:type="character" w:customStyle="1" w:styleId="Char2">
    <w:name w:val="批注框文本 Char"/>
    <w:basedOn w:val="a0"/>
    <w:link w:val="a7"/>
    <w:uiPriority w:val="99"/>
    <w:semiHidden/>
    <w:qFormat/>
    <w:rsid w:val="001B35BF"/>
    <w:rPr>
      <w:kern w:val="2"/>
      <w:sz w:val="18"/>
      <w:szCs w:val="18"/>
    </w:rPr>
  </w:style>
  <w:style w:type="character" w:customStyle="1" w:styleId="Char">
    <w:name w:val="文档结构图 Char"/>
    <w:basedOn w:val="a0"/>
    <w:link w:val="a4"/>
    <w:uiPriority w:val="99"/>
    <w:semiHidden/>
    <w:qFormat/>
    <w:rsid w:val="001B35BF"/>
    <w:rPr>
      <w:rFonts w:ascii="SimSun"/>
      <w:kern w:val="2"/>
      <w:sz w:val="18"/>
      <w:szCs w:val="18"/>
    </w:rPr>
  </w:style>
  <w:style w:type="character" w:customStyle="1" w:styleId="Char0">
    <w:name w:val="批注文字 Char"/>
    <w:basedOn w:val="a0"/>
    <w:link w:val="a5"/>
    <w:uiPriority w:val="99"/>
    <w:qFormat/>
    <w:rsid w:val="001B35BF"/>
    <w:rPr>
      <w:rFonts w:eastAsia="SimSun"/>
      <w:kern w:val="2"/>
      <w:sz w:val="21"/>
    </w:rPr>
  </w:style>
  <w:style w:type="character" w:customStyle="1" w:styleId="Char5">
    <w:name w:val="批注主题 Char"/>
    <w:basedOn w:val="Char0"/>
    <w:link w:val="ad"/>
    <w:qFormat/>
    <w:rsid w:val="001B35BF"/>
    <w:rPr>
      <w:rFonts w:eastAsia="SimSun"/>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a"/>
    <w:qFormat/>
    <w:rsid w:val="001B35BF"/>
  </w:style>
  <w:style w:type="paragraph" w:customStyle="1" w:styleId="B3">
    <w:name w:val="B3"/>
    <w:basedOn w:val="a"/>
    <w:qFormat/>
    <w:rsid w:val="001B35BF"/>
    <w:pPr>
      <w:ind w:left="1135" w:hanging="284"/>
    </w:pPr>
  </w:style>
  <w:style w:type="character" w:styleId="af4">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Char">
    <w:name w:val="标题 4 Char"/>
    <w:basedOn w:val="a0"/>
    <w:link w:val="4"/>
    <w:qFormat/>
    <w:rsid w:val="001B35BF"/>
    <w:rPr>
      <w:rFonts w:ascii="Arial" w:eastAsia="MS Mincho" w:hAnsi="Arial"/>
      <w:kern w:val="2"/>
      <w:sz w:val="24"/>
    </w:rPr>
  </w:style>
  <w:style w:type="character" w:customStyle="1" w:styleId="3Char">
    <w:name w:val="标题 3 Char"/>
    <w:basedOn w:val="a0"/>
    <w:link w:val="3"/>
    <w:qFormat/>
    <w:rsid w:val="001B35BF"/>
    <w:rPr>
      <w:rFonts w:ascii="Arial" w:eastAsia="MS Mincho" w:hAnsi="Arial"/>
      <w:kern w:val="2"/>
      <w:sz w:val="24"/>
    </w:rPr>
  </w:style>
  <w:style w:type="character" w:customStyle="1" w:styleId="2Char">
    <w:name w:val="标题 2 Char"/>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Char1">
    <w:name w:val="正文文本 Char"/>
    <w:basedOn w:val="a0"/>
    <w:link w:val="a6"/>
    <w:qFormat/>
    <w:rsid w:val="001B35BF"/>
    <w:rPr>
      <w:rFonts w:eastAsia="MS Mincho"/>
    </w:rPr>
  </w:style>
  <w:style w:type="character" w:customStyle="1" w:styleId="6Char">
    <w:name w:val="标题 6 Char"/>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Char6">
    <w:name w:val="列出段落 Char"/>
    <w:link w:val="af3"/>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a6"/>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6"/>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DengXian"/>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2">
    <w:name w:val="목록 단락1"/>
    <w:basedOn w:val="a"/>
    <w:rsid w:val="00CA4320"/>
    <w:pPr>
      <w:spacing w:beforeLines="0" w:line="240" w:lineRule="auto"/>
      <w:ind w:left="720"/>
      <w:contextualSpacing/>
    </w:pPr>
    <w:rPr>
      <w:rFonts w:eastAsia="SimSun"/>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r="http://schemas.openxmlformats.org/officeDocument/2006/relationships" xmlns:w="http://schemas.openxmlformats.org/wordprocessingml/2006/main">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cid:image002.png@01D78F8D.7C7B8730" TargetMode="External"/><Relationship Id="rId26" Type="http://schemas.openxmlformats.org/officeDocument/2006/relationships/hyperlink" Target="file:///C:\Users\10217598\Desktop\Docs\R1-2106818.zip" TargetMode="External"/><Relationship Id="rId39" Type="http://schemas.openxmlformats.org/officeDocument/2006/relationships/hyperlink" Target="file:///C:\Users\10217598\Desktop\Docs\R1-2107422.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61" Type="http://schemas.openxmlformats.org/officeDocument/2006/relationships/header" Target="head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3.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4.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5.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412A745F-7AAD-4E40-9074-72D0E4F71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7319</Words>
  <Characters>41724</Characters>
  <Application>Microsoft Office Word</Application>
  <DocSecurity>0</DocSecurity>
  <Lines>347</Lines>
  <Paragraphs>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YuzhouHu</cp:lastModifiedBy>
  <cp:revision>2</cp:revision>
  <dcterms:created xsi:type="dcterms:W3CDTF">2021-08-23T00:30:00Z</dcterms:created>
  <dcterms:modified xsi:type="dcterms:W3CDTF">2021-08-23T00:30:00Z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