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52" w14:textId="77777777" w:rsidR="00246DF7" w:rsidRDefault="0011481B">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16DDDD4E" w14:textId="77777777" w:rsidR="00246DF7" w:rsidRDefault="0011481B">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
        </w:rPr>
        <w:t>Agenda Item:</w:t>
      </w:r>
      <w:r>
        <w:rPr>
          <w:rStyle w:val="10"/>
        </w:rPr>
        <w:tab/>
      </w:r>
      <w:r>
        <w:rPr>
          <w:rStyle w:val="10"/>
        </w:rPr>
        <w:tab/>
      </w:r>
      <w:r>
        <w:rPr>
          <w:rStyle w:val="Char0"/>
        </w:rPr>
        <w:t>8.10.2</w:t>
      </w:r>
    </w:p>
    <w:p w14:paraId="37B05B3B" w14:textId="77777777" w:rsidR="00246DF7" w:rsidRDefault="0011481B">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
        </w:rPr>
        <w:t xml:space="preserve">Title: </w:t>
      </w:r>
      <w:r>
        <w:rPr>
          <w:rStyle w:val="1"/>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
        </w:rPr>
        <w:t>Document for:</w:t>
      </w:r>
      <w:r>
        <w:rPr>
          <w:rStyle w:val="10"/>
        </w:rPr>
        <w:tab/>
      </w:r>
      <w:r>
        <w:rPr>
          <w:rStyle w:val="10"/>
        </w:rPr>
        <w:tab/>
      </w:r>
      <w:r>
        <w:rPr>
          <w:rStyle w:val="Char0"/>
        </w:rPr>
        <w:t>Discussion and decision</w:t>
      </w:r>
    </w:p>
    <w:p w14:paraId="42DB421E" w14:textId="77777777" w:rsidR="00246DF7" w:rsidRDefault="0011481B">
      <w:pPr>
        <w:pStyle w:val="Heading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Heading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TableGrid"/>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22FFA3E3"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0157612D"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408E851B"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44BA3155" w14:textId="77777777" w:rsidR="00246DF7" w:rsidRDefault="0011481B">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4BA79A79" w14:textId="77777777" w:rsidR="00246DF7" w:rsidRDefault="0011481B">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77DDF16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746D37C" w14:textId="77777777" w:rsidR="00246DF7" w:rsidRDefault="0011481B">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w:t>
            </w:r>
            <w:proofErr w:type="gramStart"/>
            <w:r>
              <w:rPr>
                <w:rFonts w:ascii="Times New Roman" w:eastAsiaTheme="minorEastAsia" w:hAnsi="Times New Roman" w:cs="Times New Roman"/>
                <w:sz w:val="20"/>
                <w:szCs w:val="20"/>
                <w:lang w:eastAsia="ja-JP"/>
              </w:rPr>
              <w:t>has to</w:t>
            </w:r>
            <w:proofErr w:type="gramEnd"/>
            <w:r>
              <w:rPr>
                <w:rFonts w:ascii="Times New Roman" w:eastAsiaTheme="minorEastAsia" w:hAnsi="Times New Roman" w:cs="Times New Roman"/>
                <w:sz w:val="20"/>
                <w:szCs w:val="20"/>
                <w:lang w:eastAsia="ja-JP"/>
              </w:rPr>
              <w:t xml:space="preserve">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w:t>
            </w:r>
            <w:proofErr w:type="gramStart"/>
            <w:r>
              <w:rPr>
                <w:rFonts w:eastAsiaTheme="minorEastAsia"/>
                <w:lang w:eastAsia="zh-CN"/>
              </w:rPr>
              <w:t>i.e.</w:t>
            </w:r>
            <w:proofErr w:type="gramEnd"/>
            <w:r>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proofErr w:type="gramStart"/>
            <w:r>
              <w:rPr>
                <w:rFonts w:eastAsiaTheme="minorEastAsia"/>
                <w:lang w:eastAsia="ko-KR"/>
              </w:rPr>
              <w:t>But,</w:t>
            </w:r>
            <w:proofErr w:type="gramEnd"/>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 xml:space="preserve">sub-bullets.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 xml:space="preserve">For case 6 timing, the DU Tx timing should be maintained as Rel-16 case 1 timing. </w:t>
            </w:r>
            <w:proofErr w:type="gramStart"/>
            <w:r>
              <w:rPr>
                <w:rFonts w:eastAsiaTheme="minorEastAsia"/>
                <w:lang w:val="en-US" w:eastAsia="zh-CN"/>
              </w:rPr>
              <w:t>So</w:t>
            </w:r>
            <w:proofErr w:type="gramEnd"/>
            <w:r>
              <w:rPr>
                <w:rFonts w:eastAsiaTheme="minorEastAsia"/>
                <w:lang w:val="en-US" w:eastAsia="zh-CN"/>
              </w:rPr>
              <w:t xml:space="preserve"> we don’t think the range of </w:t>
            </w:r>
            <w:proofErr w:type="spellStart"/>
            <w:r>
              <w:rPr>
                <w:rFonts w:eastAsiaTheme="minorEastAsia"/>
                <w:lang w:val="en-US" w:eastAsia="zh-CN"/>
              </w:rPr>
              <w:t>T_delta</w:t>
            </w:r>
            <w:proofErr w:type="spellEnd"/>
            <w:r>
              <w:rPr>
                <w:rFonts w:eastAsiaTheme="minorEastAsia"/>
                <w:lang w:val="en-US" w:eastAsia="zh-CN"/>
              </w:rPr>
              <w:t xml:space="preserve">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SimSun" w:cs="Times"/>
                <w:b/>
                <w:bCs/>
                <w:color w:val="FF0000"/>
                <w:lang w:val="en-US" w:eastAsia="zh-CN"/>
              </w:rPr>
              <w:t xml:space="preserve"> of</w:t>
            </w:r>
            <w:proofErr w:type="gramEnd"/>
            <w:r>
              <w:rPr>
                <w:rFonts w:eastAsia="SimSun" w:cs="Times"/>
                <w:b/>
                <w:bCs/>
                <w:color w:val="FF0000"/>
                <w:lang w:val="en-US" w:eastAsia="zh-CN"/>
              </w:rPr>
              <w:t xml:space="preserve">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to support OTA synchronization during Case 6 timing.</w:t>
      </w:r>
    </w:p>
    <w:p w14:paraId="3FC7534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T_delta</w:t>
      </w:r>
      <w:proofErr w:type="spellEnd"/>
      <w:r>
        <w:rPr>
          <w:rFonts w:ascii="Times New Roman" w:hAnsi="Times New Roman" w:cs="Times New Roman"/>
          <w:sz w:val="20"/>
          <w:szCs w:val="20"/>
        </w:rPr>
        <w:t>)</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5786CC42"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proofErr w:type="spellStart"/>
            <w:r>
              <w:rPr>
                <w:bCs/>
              </w:rPr>
              <w:t>Downselection</w:t>
            </w:r>
            <w:proofErr w:type="spellEnd"/>
            <w:r>
              <w:rPr>
                <w:bCs/>
              </w:rPr>
              <w:t xml:space="preserve"> to consider at least the following aspects:</w:t>
            </w:r>
          </w:p>
          <w:p w14:paraId="59501CA9"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4F531501" w14:textId="77777777" w:rsidR="00246DF7" w:rsidRDefault="0011481B">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D2CDC6B" w14:textId="77777777" w:rsidR="00246DF7" w:rsidRDefault="0011481B">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TableGrid"/>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1B053E4"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 xml:space="preserve">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xml:space="preserve">. Hence Alt-1 and Alt-3 are preferred </w:t>
            </w:r>
            <w:proofErr w:type="gramStart"/>
            <w:r>
              <w:rPr>
                <w:rFonts w:eastAsiaTheme="minorEastAsia"/>
                <w:lang w:eastAsia="ja-JP"/>
              </w:rPr>
              <w:t>so as to</w:t>
            </w:r>
            <w:proofErr w:type="gramEnd"/>
            <w:r>
              <w:rPr>
                <w:rFonts w:eastAsiaTheme="minorEastAsia"/>
                <w:lang w:eastAsia="ja-JP"/>
              </w:rPr>
              <w:t xml:space="preserve">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w:t>
            </w:r>
            <w:proofErr w:type="gramStart"/>
            <w:r>
              <w:rPr>
                <w:lang w:val="en-US" w:eastAsia="zh-CN"/>
              </w:rPr>
              <w:t>i.e.</w:t>
            </w:r>
            <w:proofErr w:type="gramEnd"/>
            <w:r>
              <w:rPr>
                <w:lang w:val="en-US" w:eastAsia="zh-CN"/>
              </w:rPr>
              <w:t xml:space="preserv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range, granularity, and </w:t>
      </w:r>
      <w:proofErr w:type="spellStart"/>
      <w:r>
        <w:rPr>
          <w:rFonts w:ascii="Times New Roman" w:hAnsi="Times New Roman" w:cs="Times New Roman"/>
          <w:b/>
          <w:bCs/>
          <w:sz w:val="20"/>
          <w:szCs w:val="20"/>
        </w:rPr>
        <w:t>signaling</w:t>
      </w:r>
      <w:proofErr w:type="spellEnd"/>
      <w:r>
        <w:rPr>
          <w:rFonts w:ascii="Times New Roman" w:hAnsi="Times New Roman" w:cs="Times New Roman"/>
          <w:b/>
          <w:bCs/>
          <w:sz w:val="20"/>
          <w:szCs w:val="20"/>
        </w:rPr>
        <w:t xml:space="preserve">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ListParagraph"/>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 xml:space="preserve">FFS range, granularity, and </w:t>
      </w:r>
      <w:proofErr w:type="spellStart"/>
      <w:r>
        <w:rPr>
          <w:rFonts w:ascii="Times New Roman" w:hAnsi="Times New Roman" w:cs="Times New Roman"/>
          <w:color w:val="000000"/>
          <w:sz w:val="20"/>
          <w:szCs w:val="20"/>
          <w14:textFill>
            <w14:solidFill>
              <w14:srgbClr w14:val="000000">
                <w14:lumMod w14:val="65000"/>
                <w14:lumOff w14:val="35000"/>
              </w14:srgbClr>
            </w14:solidFill>
          </w14:textFill>
        </w:rPr>
        <w:t>signaling</w:t>
      </w:r>
      <w:proofErr w:type="spellEnd"/>
      <w:r>
        <w:rPr>
          <w:rFonts w:ascii="Times New Roman" w:hAnsi="Times New Roman" w:cs="Times New Roman"/>
          <w:color w:val="000000"/>
          <w:sz w:val="20"/>
          <w:szCs w:val="20"/>
          <w14:textFill>
            <w14:solidFill>
              <w14:srgbClr w14:val="000000">
                <w14:lumMod w14:val="65000"/>
                <w14:lumOff w14:val="35000"/>
              </w14:srgbClr>
            </w14:solidFill>
          </w14:textFill>
        </w:rPr>
        <w:t xml:space="preserve">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w:t>
            </w:r>
            <w:proofErr w:type="gramStart"/>
            <w:r>
              <w:rPr>
                <w:rFonts w:ascii="Times New Roman" w:hAnsi="Times New Roman" w:cs="Times New Roman"/>
                <w:bCs/>
                <w:color w:val="000000"/>
                <w:sz w:val="20"/>
                <w:szCs w:val="20"/>
                <w14:textFill>
                  <w14:solidFill>
                    <w14:srgbClr w14:val="000000">
                      <w14:lumMod w14:val="65000"/>
                      <w14:lumOff w14:val="35000"/>
                    </w14:srgbClr>
                  </w14:solidFill>
                </w14:textFill>
              </w:rPr>
              <w:t>e.g.</w:t>
            </w:r>
            <w:proofErr w:type="gram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717813F"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w:t>
      </w:r>
      <w:proofErr w:type="spellStart"/>
      <w:r>
        <w:t>signaled</w:t>
      </w:r>
      <w:proofErr w:type="spellEnd"/>
      <w:r>
        <w:t xml:space="preserve">, </w:t>
      </w:r>
      <w:proofErr w:type="gramStart"/>
      <w:r>
        <w:t>i.e.</w:t>
      </w:r>
      <w:proofErr w:type="gramEnd"/>
      <w:r>
        <w:t xml:space="preserve"> it is a conditional capability at a given node, whose conditions may not be necessarily known at the parent node. Moreover, it is reasonable to assume that a node may be capable of a multiplexing scenario without requiring a specific timing mode – </w:t>
      </w:r>
      <w:proofErr w:type="gramStart"/>
      <w:r>
        <w:t>e.g.</w:t>
      </w:r>
      <w:proofErr w:type="gramEnd"/>
      <w:r>
        <w:t xml:space="preserve">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ListParagraph"/>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whether the indication should be associated with another dimensions,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3B110AB1" w14:textId="77777777">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1"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tc>
          <w:tcPr>
            <w:tcW w:w="2243" w:type="dxa"/>
            <w:shd w:val="clear" w:color="auto" w:fill="auto"/>
          </w:tcPr>
          <w:p w14:paraId="14ED89E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77D0C26D"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09CE9BF4" w14:textId="77777777">
        <w:tc>
          <w:tcPr>
            <w:tcW w:w="2243" w:type="dxa"/>
            <w:shd w:val="clear" w:color="auto" w:fill="auto"/>
          </w:tcPr>
          <w:p w14:paraId="3E9F684A"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 xml:space="preserve">Regarding proposal 1.3b, the association between time domain resource and other dimension makes difference of indication as shown in FFS. </w:t>
            </w:r>
            <w:proofErr w:type="gramStart"/>
            <w:r>
              <w:rPr>
                <w:rFonts w:eastAsia="Batang"/>
                <w:lang w:eastAsia="ko-KR"/>
              </w:rPr>
              <w:t>So</w:t>
            </w:r>
            <w:proofErr w:type="gramEnd"/>
            <w:r>
              <w:rPr>
                <w:rFonts w:eastAsia="Batang"/>
                <w:lang w:eastAsia="ko-KR"/>
              </w:rPr>
              <w:t xml:space="preserve">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tc>
          <w:tcPr>
            <w:tcW w:w="2243" w:type="dxa"/>
            <w:shd w:val="clear" w:color="auto" w:fill="auto"/>
          </w:tcPr>
          <w:p w14:paraId="56419237" w14:textId="77777777" w:rsidR="00246DF7" w:rsidRDefault="0011481B">
            <w:pPr>
              <w:spacing w:after="0" w:line="240" w:lineRule="auto"/>
              <w:jc w:val="center"/>
              <w:rPr>
                <w:rFonts w:ascii="CG Times (WN)" w:eastAsia="Batang" w:hAnsi="CG Times (WN)" w:hint="eastAsia"/>
                <w:lang w:eastAsia="ko-KR"/>
              </w:rPr>
            </w:pPr>
            <w:r>
              <w:rPr>
                <w:rFonts w:ascii="SimSun" w:eastAsia="SimSun" w:hAnsi="SimSun"/>
                <w:lang w:eastAsia="zh-CN"/>
              </w:rPr>
              <w:t>vivo</w:t>
            </w:r>
          </w:p>
        </w:tc>
        <w:tc>
          <w:tcPr>
            <w:tcW w:w="7381"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t>LG</w:t>
            </w:r>
          </w:p>
        </w:tc>
        <w:tc>
          <w:tcPr>
            <w:tcW w:w="7381"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w:t>
            </w:r>
            <w:proofErr w:type="gramStart"/>
            <w:r>
              <w:rPr>
                <w:rFonts w:eastAsia="Batang"/>
                <w:lang w:eastAsia="ko-KR"/>
              </w:rPr>
              <w:t>However</w:t>
            </w:r>
            <w:proofErr w:type="gramEnd"/>
            <w:r>
              <w:rPr>
                <w:rFonts w:eastAsia="Batang"/>
                <w:lang w:eastAsia="ko-KR"/>
              </w:rPr>
              <w:t xml:space="preserve"> for 1.3b, it would be clear to us that “specific time resource” means the U/F resources of TDD configuration that case 6 timing is applied for. </w:t>
            </w:r>
          </w:p>
        </w:tc>
      </w:tr>
      <w:tr w:rsidR="00246DF7" w14:paraId="63F9649F" w14:textId="77777777">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w:t>
            </w:r>
            <w:proofErr w:type="gramStart"/>
            <w:r>
              <w:rPr>
                <w:rFonts w:asciiTheme="minorHAnsi" w:eastAsia="SimSun" w:hAnsi="Calibri"/>
                <w:color w:val="000000"/>
                <w:lang w:val="en-US" w:eastAsia="zh-CN"/>
              </w:rPr>
              <w:t>So</w:t>
            </w:r>
            <w:proofErr w:type="gramEnd"/>
            <w:r>
              <w:rPr>
                <w:rFonts w:asciiTheme="minorHAnsi" w:eastAsia="SimSun" w:hAnsi="Calibri"/>
                <w:color w:val="000000"/>
                <w:lang w:val="en-US" w:eastAsia="zh-CN"/>
              </w:rPr>
              <w:t xml:space="preserve"> we don’t think the proposal 1.3d is necessary. </w:t>
            </w:r>
          </w:p>
        </w:tc>
      </w:tr>
      <w:tr w:rsidR="00246DF7" w14:paraId="1C9B6756" w14:textId="77777777" w:rsidTr="008449FE">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proofErr w:type="spellStart"/>
            <w:r>
              <w:t>CEWiT</w:t>
            </w:r>
            <w:proofErr w:type="spellEnd"/>
          </w:p>
        </w:tc>
        <w:tc>
          <w:tcPr>
            <w:tcW w:w="7381" w:type="dxa"/>
            <w:tcBorders>
              <w:top w:val="nil"/>
              <w:bottom w:val="single" w:sz="4" w:space="0" w:color="auto"/>
            </w:tcBorders>
            <w:shd w:val="clear" w:color="auto" w:fill="auto"/>
          </w:tcPr>
          <w:p w14:paraId="239A192E" w14:textId="77777777" w:rsidR="00246DF7" w:rsidRDefault="0011481B">
            <w:pPr>
              <w:pStyle w:val="CommentText"/>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CommentText"/>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CommentText"/>
              <w:spacing w:after="0"/>
              <w:rPr>
                <w:rFonts w:ascii="Times New Roman" w:hAnsi="Times New Roman" w:cs="Times New Roman"/>
                <w:color w:val="000000" w:themeColor="text1"/>
                <w:sz w:val="20"/>
                <w:szCs w:val="20"/>
              </w:rPr>
            </w:pPr>
          </w:p>
          <w:p w14:paraId="78D46740" w14:textId="77777777" w:rsidR="00246DF7" w:rsidRDefault="0011481B">
            <w:pPr>
              <w:pStyle w:val="CommentText"/>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CommentText"/>
              <w:spacing w:after="0"/>
              <w:rPr>
                <w:rFonts w:ascii="Times New Roman" w:eastAsia="Batang" w:hAnsi="Times New Roman" w:cs="Times New Roman"/>
                <w:sz w:val="20"/>
                <w:szCs w:val="20"/>
                <w:lang w:eastAsia="ko-KR"/>
              </w:rPr>
            </w:pPr>
          </w:p>
          <w:p w14:paraId="5153F2EE" w14:textId="77777777" w:rsidR="00246DF7" w:rsidRDefault="0011481B">
            <w:pPr>
              <w:pStyle w:val="CommentText"/>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6B3B64">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1" w:type="dxa"/>
            <w:tcBorders>
              <w:top w:val="single" w:sz="4" w:space="0" w:color="auto"/>
              <w:bottom w:val="single" w:sz="4" w:space="0" w:color="auto"/>
            </w:tcBorders>
            <w:shd w:val="clear" w:color="auto" w:fill="auto"/>
          </w:tcPr>
          <w:p w14:paraId="708EC674" w14:textId="77777777" w:rsidR="008449FE" w:rsidRDefault="008449FE">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CommentText"/>
              <w:spacing w:after="0"/>
              <w:rPr>
                <w:rFonts w:ascii="Times New Roman" w:eastAsia="Batang" w:hAnsi="Times New Roman" w:cs="Times New Roman"/>
                <w:sz w:val="20"/>
                <w:szCs w:val="20"/>
                <w:lang w:eastAsia="ko-KR"/>
              </w:rPr>
            </w:pPr>
          </w:p>
          <w:p w14:paraId="62EE7CD4" w14:textId="6E955FB6" w:rsidR="008B2371" w:rsidRDefault="008B2371">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8449FE">
        <w:tc>
          <w:tcPr>
            <w:tcW w:w="2243" w:type="dxa"/>
            <w:tcBorders>
              <w:top w:val="single" w:sz="4" w:space="0" w:color="auto"/>
            </w:tcBorders>
            <w:shd w:val="clear" w:color="auto" w:fill="auto"/>
          </w:tcPr>
          <w:p w14:paraId="7A70F030" w14:textId="4BB07E8F" w:rsidR="006B3B64" w:rsidRDefault="006B3B64">
            <w:pPr>
              <w:spacing w:after="0" w:line="240" w:lineRule="auto"/>
              <w:jc w:val="center"/>
            </w:pPr>
            <w:r>
              <w:t>AT&amp;T</w:t>
            </w:r>
          </w:p>
        </w:tc>
        <w:tc>
          <w:tcPr>
            <w:tcW w:w="7381" w:type="dxa"/>
            <w:tcBorders>
              <w:top w:val="single" w:sz="4" w:space="0" w:color="auto"/>
            </w:tcBorders>
            <w:shd w:val="clear" w:color="auto" w:fill="auto"/>
          </w:tcPr>
          <w:p w14:paraId="59BB5A25" w14:textId="5CF87600" w:rsidR="006B3B64" w:rsidRDefault="006B3B64">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proofErr w:type="gramStart"/>
      <w:r>
        <w:t>In regard to</w:t>
      </w:r>
      <w:proofErr w:type="gramEnd"/>
      <w:r>
        <w:t xml:space="preserve">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 xml:space="preserve">In regard to LG’s point on FL Proposal 1.3b the intention of the proposal is to say that the indication of when Case 6 timing is allowed at a given node is associated to at least some time domain information, </w:t>
      </w:r>
      <w:proofErr w:type="gramStart"/>
      <w:r>
        <w:t>e.g.</w:t>
      </w:r>
      <w:proofErr w:type="gramEnd"/>
      <w:r>
        <w:t xml:space="preserve">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w:t>
      </w:r>
      <w:proofErr w:type="gramStart"/>
      <w:r>
        <w:t>i.e.</w:t>
      </w:r>
      <w:proofErr w:type="gramEnd"/>
      <w:r>
        <w:t xml:space="preserve"> “FFS range, granularity, and </w:t>
      </w:r>
      <w:proofErr w:type="spellStart"/>
      <w:r>
        <w:t>signaling</w:t>
      </w:r>
      <w:proofErr w:type="spellEnd"/>
      <w:r>
        <w:t xml:space="preserve">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ListParagraph"/>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3A0DD44A"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 xml:space="preserve">We support this proposal in </w:t>
            </w:r>
            <w:proofErr w:type="gramStart"/>
            <w:r>
              <w:rPr>
                <w:rFonts w:eastAsiaTheme="minorEastAsia"/>
                <w:lang w:eastAsia="zh-CN"/>
              </w:rPr>
              <w:t>general</w:t>
            </w:r>
            <w:proofErr w:type="gramEnd"/>
            <w:r>
              <w:rPr>
                <w:rFonts w:eastAsiaTheme="minorEastAsia"/>
                <w:lang w:eastAsia="zh-CN"/>
              </w:rPr>
              <w:t xml:space="preserve">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 xml:space="preserve">to timing switching itself </w:t>
            </w:r>
            <w:proofErr w:type="gramStart"/>
            <w:r>
              <w:rPr>
                <w:rFonts w:eastAsiaTheme="minorEastAsia"/>
                <w:lang w:eastAsia="ko-KR"/>
              </w:rPr>
              <w:t>and also</w:t>
            </w:r>
            <w:proofErr w:type="gramEnd"/>
            <w:r>
              <w:rPr>
                <w:rFonts w:eastAsiaTheme="minorEastAsia"/>
                <w:lang w:eastAsia="ko-KR"/>
              </w:rPr>
              <w:t xml:space="preserve"> there was no consensus about how to associate timing switching with multiplexing switching. </w:t>
            </w:r>
            <w:proofErr w:type="gramStart"/>
            <w:r>
              <w:rPr>
                <w:rFonts w:eastAsiaTheme="minorEastAsia"/>
                <w:lang w:eastAsia="ko-KR"/>
              </w:rPr>
              <w:t>But,</w:t>
            </w:r>
            <w:proofErr w:type="gramEnd"/>
            <w:r>
              <w:rPr>
                <w:rFonts w:eastAsiaTheme="minorEastAsia"/>
                <w:lang w:eastAsia="ko-KR"/>
              </w:rPr>
              <w:t xml:space="preserve">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w:t>
            </w:r>
            <w:proofErr w:type="gramStart"/>
            <w:r>
              <w:rPr>
                <w:rFonts w:eastAsiaTheme="minorEastAsia"/>
                <w:lang w:val="en-US" w:eastAsia="zh-CN"/>
              </w:rPr>
              <w:t>So</w:t>
            </w:r>
            <w:proofErr w:type="gramEnd"/>
            <w:r>
              <w:rPr>
                <w:rFonts w:eastAsiaTheme="minorEastAsia"/>
                <w:lang w:val="en-US" w:eastAsia="zh-CN"/>
              </w:rPr>
              <w:t xml:space="preserve">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lastRenderedPageBreak/>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3"/>
        <w:gridCol w:w="7382"/>
      </w:tblGrid>
      <w:tr w:rsidR="00246DF7" w14:paraId="183C4980" w14:textId="77777777">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tc>
          <w:tcPr>
            <w:tcW w:w="2243" w:type="dxa"/>
            <w:shd w:val="clear" w:color="auto" w:fill="auto"/>
          </w:tcPr>
          <w:p w14:paraId="5BDC6134"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Apple</w:t>
            </w:r>
          </w:p>
        </w:tc>
        <w:tc>
          <w:tcPr>
            <w:tcW w:w="7381" w:type="dxa"/>
            <w:shd w:val="clear" w:color="auto" w:fill="auto"/>
          </w:tcPr>
          <w:p w14:paraId="308A0074"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 xml:space="preserve">Support FL’s Conclusion </w:t>
            </w:r>
          </w:p>
        </w:tc>
      </w:tr>
      <w:tr w:rsidR="00246DF7" w14:paraId="7530C2CD" w14:textId="77777777">
        <w:tc>
          <w:tcPr>
            <w:tcW w:w="2243" w:type="dxa"/>
            <w:shd w:val="clear" w:color="auto" w:fill="auto"/>
          </w:tcPr>
          <w:p w14:paraId="6C086ED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A922F64"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7021B95D" w14:textId="77777777">
        <w:tc>
          <w:tcPr>
            <w:tcW w:w="2243" w:type="dxa"/>
            <w:shd w:val="clear" w:color="auto" w:fill="auto"/>
          </w:tcPr>
          <w:p w14:paraId="6AAE2A81"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36A196C4" w14:textId="77777777" w:rsidR="00246DF7" w:rsidRDefault="0011481B">
            <w:pPr>
              <w:spacing w:after="0" w:line="240" w:lineRule="auto"/>
              <w:rPr>
                <w:rFonts w:ascii="CG Times (WN)" w:eastAsia="Batang" w:hAnsi="CG Times (WN)" w:hint="eastAsia"/>
                <w:lang w:eastAsia="ko-KR"/>
              </w:rPr>
            </w:pPr>
            <w:r>
              <w:rPr>
                <w:rFonts w:eastAsia="Batang"/>
                <w:lang w:eastAsia="ko-KR"/>
              </w:rPr>
              <w:t>Support.</w:t>
            </w:r>
          </w:p>
        </w:tc>
      </w:tr>
      <w:tr w:rsidR="00246DF7" w14:paraId="2627FCF9" w14:textId="77777777">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rsidTr="00FE7984">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proofErr w:type="spellStart"/>
            <w:r>
              <w:t>CEWiT</w:t>
            </w:r>
            <w:proofErr w:type="spellEnd"/>
          </w:p>
        </w:tc>
        <w:tc>
          <w:tcPr>
            <w:tcW w:w="7381"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6B3B64">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1"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FE7984">
        <w:tc>
          <w:tcPr>
            <w:tcW w:w="2243" w:type="dxa"/>
            <w:tcBorders>
              <w:top w:val="single" w:sz="4" w:space="0" w:color="auto"/>
            </w:tcBorders>
            <w:shd w:val="clear" w:color="auto" w:fill="auto"/>
          </w:tcPr>
          <w:p w14:paraId="2FEBBE71" w14:textId="2A22C507" w:rsidR="006B3B64" w:rsidRDefault="006B3B64">
            <w:pPr>
              <w:spacing w:after="0" w:line="240" w:lineRule="auto"/>
              <w:jc w:val="center"/>
            </w:pPr>
            <w:r>
              <w:t>AT&amp;T</w:t>
            </w:r>
          </w:p>
        </w:tc>
        <w:tc>
          <w:tcPr>
            <w:tcW w:w="7381" w:type="dxa"/>
            <w:tcBorders>
              <w:top w:val="single" w:sz="4" w:space="0" w:color="auto"/>
            </w:tcBorders>
            <w:shd w:val="clear" w:color="auto" w:fill="auto"/>
          </w:tcPr>
          <w:p w14:paraId="01F5C5AE" w14:textId="2FB88FA3" w:rsidR="006B3B64" w:rsidRDefault="006B3B64">
            <w:pPr>
              <w:spacing w:after="0" w:line="240" w:lineRule="auto"/>
            </w:pPr>
            <w:r>
              <w:t>Support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br w:type="page"/>
      </w:r>
    </w:p>
    <w:p w14:paraId="150DFD97" w14:textId="77777777" w:rsidR="00246DF7" w:rsidRDefault="0011481B">
      <w:pPr>
        <w:pStyle w:val="Heading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904F069" w14:textId="77777777" w:rsidR="00246DF7" w:rsidRDefault="0011481B">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769A3AE7"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CommentText"/>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 xml:space="preserve">can be left to </w:t>
            </w:r>
            <w:proofErr w:type="spellStart"/>
            <w:r>
              <w:rPr>
                <w:rFonts w:eastAsia="SimSun"/>
                <w:color w:val="000000" w:themeColor="text1"/>
                <w:lang w:val="en-US" w:eastAsia="zh-CN"/>
              </w:rPr>
              <w:t>gNB’s</w:t>
            </w:r>
            <w:proofErr w:type="spellEnd"/>
            <w:r>
              <w:rPr>
                <w:rFonts w:eastAsiaTheme="minorEastAsia"/>
                <w:lang w:val="en-US" w:eastAsia="zh-CN"/>
              </w:rPr>
              <w:t xml:space="preserve"> </w:t>
            </w:r>
            <w:proofErr w:type="gramStart"/>
            <w:r>
              <w:rPr>
                <w:rFonts w:eastAsiaTheme="minorEastAsia"/>
                <w:lang w:val="en-US" w:eastAsia="zh-CN"/>
              </w:rPr>
              <w:t>implementation</w:t>
            </w:r>
            <w:proofErr w:type="gramEnd"/>
            <w:r>
              <w:rPr>
                <w:rFonts w:eastAsiaTheme="minorEastAsia"/>
                <w:lang w:val="en-US" w:eastAsia="zh-CN"/>
              </w:rPr>
              <w:t xml:space="preserve">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TableGrid"/>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w:t>
      </w:r>
      <w:proofErr w:type="spellStart"/>
      <w:r>
        <w:t>neighboring</w:t>
      </w:r>
      <w:proofErr w:type="spellEnd"/>
      <w:r>
        <w:t xml:space="preserve"> nodes discovery (</w:t>
      </w:r>
      <w:proofErr w:type="gramStart"/>
      <w:r>
        <w:t>e.g.</w:t>
      </w:r>
      <w:proofErr w:type="gramEnd"/>
      <w:r>
        <w:t xml:space="preserve"> the work done under the Rel-16 agenda item “Extensions of SSBs for inter-IAB-node discovery and measurements”). One of the key </w:t>
      </w:r>
      <w:proofErr w:type="gramStart"/>
      <w:r>
        <w:t>advantage</w:t>
      </w:r>
      <w:proofErr w:type="gramEnd"/>
      <w:r>
        <w:t xml:space="preserve"> of IAB-nodes over a conventional </w:t>
      </w:r>
      <w:proofErr w:type="spellStart"/>
      <w:r>
        <w:t>gNBs</w:t>
      </w:r>
      <w:proofErr w:type="spellEnd"/>
      <w:r>
        <w:t xml:space="preserve">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 xml:space="preserve">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w:t>
      </w:r>
      <w:proofErr w:type="gramStart"/>
      <w:r>
        <w:t>hand</w:t>
      </w:r>
      <w:proofErr w:type="gramEnd"/>
      <w:r>
        <w:t xml:space="preserve">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w:t>
      </w:r>
      <w:proofErr w:type="gramStart"/>
      <w:r>
        <w:rPr>
          <w:rFonts w:asciiTheme="majorBidi" w:hAnsiTheme="majorBidi" w:cstheme="majorBidi"/>
          <w:b/>
          <w:bCs/>
          <w:color w:val="000000"/>
          <w:sz w:val="20"/>
          <w:szCs w:val="20"/>
          <w14:textFill>
            <w14:solidFill>
              <w14:srgbClr w14:val="000000">
                <w14:lumMod w14:val="65000"/>
                <w14:lumOff w14:val="35000"/>
              </w14:srgbClr>
            </w14:solidFill>
          </w14:textFill>
        </w:rPr>
        <w:t>e.g.</w:t>
      </w:r>
      <w:proofErr w:type="gram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DU-based vs. MT-based reports.</w:t>
      </w:r>
    </w:p>
    <w:p w14:paraId="10CFFF0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018B890F" w14:textId="77777777">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tc>
          <w:tcPr>
            <w:tcW w:w="2243" w:type="dxa"/>
            <w:shd w:val="clear" w:color="auto" w:fill="auto"/>
          </w:tcPr>
          <w:p w14:paraId="5178257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09419E1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Considering the intention of the FL, we are </w:t>
            </w:r>
            <w:proofErr w:type="gramStart"/>
            <w:r>
              <w:rPr>
                <w:rFonts w:ascii="CG Times (WN)" w:eastAsia="Batang" w:hAnsi="CG Times (WN)"/>
                <w:lang w:eastAsia="ko-KR"/>
              </w:rPr>
              <w:t>align</w:t>
            </w:r>
            <w:proofErr w:type="gramEnd"/>
            <w:r>
              <w:rPr>
                <w:rFonts w:ascii="CG Times (WN)" w:eastAsia="Batang" w:hAnsi="CG Times (WN)"/>
                <w:lang w:eastAsia="ko-KR"/>
              </w:rPr>
              <w:t xml:space="preserve">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w:t>
            </w:r>
            <w:proofErr w:type="gramStart"/>
            <w:r>
              <w:rPr>
                <w:rFonts w:ascii="CG Times (WN)" w:eastAsia="Batang" w:hAnsi="CG Times (WN)"/>
                <w:sz w:val="20"/>
                <w:szCs w:val="20"/>
                <w:lang w:eastAsia="ko-KR"/>
              </w:rPr>
              <w:t>Furthermore</w:t>
            </w:r>
            <w:proofErr w:type="gramEnd"/>
            <w:r>
              <w:rPr>
                <w:rFonts w:ascii="CG Times (WN)" w:eastAsia="Batang" w:hAnsi="CG Times (WN)"/>
                <w:sz w:val="20"/>
                <w:szCs w:val="20"/>
                <w:lang w:eastAsia="ko-KR"/>
              </w:rPr>
              <w:t xml:space="preserv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tc>
          <w:tcPr>
            <w:tcW w:w="2243" w:type="dxa"/>
            <w:shd w:val="clear" w:color="auto" w:fill="auto"/>
          </w:tcPr>
          <w:p w14:paraId="19641A30"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1" w:type="dxa"/>
            <w:shd w:val="clear" w:color="auto" w:fill="auto"/>
          </w:tcPr>
          <w:p w14:paraId="304D6AFF"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6011E0A0" w14:textId="77777777">
        <w:tc>
          <w:tcPr>
            <w:tcW w:w="2243" w:type="dxa"/>
            <w:shd w:val="clear" w:color="auto" w:fill="auto"/>
          </w:tcPr>
          <w:p w14:paraId="3805674D"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258B48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tc>
          <w:tcPr>
            <w:tcW w:w="2243" w:type="dxa"/>
            <w:shd w:val="clear" w:color="auto" w:fill="auto"/>
          </w:tcPr>
          <w:p w14:paraId="58CA28E8" w14:textId="2E75347C" w:rsidR="0011481B"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5E902EBC" w14:textId="7D906A0A" w:rsidR="0011481B" w:rsidRDefault="00871092">
            <w:pPr>
              <w:spacing w:after="0" w:line="240" w:lineRule="auto"/>
              <w:rPr>
                <w:rFonts w:ascii="CG Times (WN)" w:eastAsia="Batang" w:hAnsi="CG Times (WN)" w:hint="eastAsia"/>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tc>
          <w:tcPr>
            <w:tcW w:w="2243" w:type="dxa"/>
            <w:shd w:val="clear" w:color="auto" w:fill="auto"/>
          </w:tcPr>
          <w:p w14:paraId="5EFE38D8" w14:textId="0F17D7C2" w:rsidR="00E90CEB" w:rsidRDefault="00E90CEB">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59D7A3A3" w14:textId="12EDC608" w:rsidR="00E90CEB" w:rsidRDefault="00E90CEB">
            <w:pPr>
              <w:spacing w:after="0" w:line="240" w:lineRule="auto"/>
              <w:rPr>
                <w:rFonts w:ascii="CG Times (WN)" w:eastAsia="Batang" w:hAnsi="CG Times (WN)" w:hint="eastAsia"/>
                <w:lang w:eastAsia="ko-KR"/>
              </w:rPr>
            </w:pPr>
            <w:r>
              <w:rPr>
                <w:rFonts w:ascii="CG Times (WN)" w:eastAsia="Batang" w:hAnsi="CG Times (WN)"/>
                <w:lang w:eastAsia="ko-KR"/>
              </w:rPr>
              <w:t>We support the proposal.</w:t>
            </w:r>
          </w:p>
        </w:tc>
      </w:tr>
      <w:tr w:rsidR="006B3B64" w14:paraId="03BA8600" w14:textId="77777777">
        <w:tc>
          <w:tcPr>
            <w:tcW w:w="2243" w:type="dxa"/>
            <w:shd w:val="clear" w:color="auto" w:fill="auto"/>
          </w:tcPr>
          <w:p w14:paraId="399D28CC" w14:textId="1B4396CE" w:rsidR="006B3B64"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7D77D41" w14:textId="77777777" w:rsidR="006B3B64" w:rsidRDefault="00187483">
            <w:pPr>
              <w:spacing w:after="0" w:line="240" w:lineRule="auto"/>
              <w:rPr>
                <w:rFonts w:ascii="CG Times (WN)" w:eastAsia="Batang" w:hAnsi="CG Times (WN)"/>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i</w:t>
            </w:r>
            <w:r w:rsidR="00187483">
              <w:rPr>
                <w:rFonts w:cstheme="majorBidi"/>
                <w:b/>
                <w:bCs/>
                <w:color w:val="000000" w:themeColor="text1"/>
              </w:rPr>
              <w:t xml:space="preserve">nterference measurement reports from the IAB-node to the CU are supported </w:t>
            </w:r>
            <w:r w:rsidR="00187483">
              <w:rPr>
                <w:rFonts w:cstheme="majorBidi"/>
                <w:b/>
                <w:bCs/>
                <w:color w:val="000000" w:themeColor="text1"/>
              </w:rPr>
              <w:t xml:space="preserve">reusing existing </w:t>
            </w:r>
            <w:r>
              <w:rPr>
                <w:rFonts w:cstheme="majorBidi"/>
                <w:b/>
                <w:bCs/>
                <w:color w:val="000000" w:themeColor="text1"/>
              </w:rPr>
              <w:t>interference measurements</w:t>
            </w:r>
          </w:p>
          <w:p w14:paraId="00D5C959" w14:textId="77777777" w:rsidR="00187483" w:rsidRDefault="00187483" w:rsidP="00187483">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w:t>
            </w:r>
            <w:proofErr w:type="gramStart"/>
            <w:r>
              <w:rPr>
                <w:rFonts w:asciiTheme="majorBidi" w:hAnsiTheme="majorBidi" w:cstheme="majorBidi"/>
                <w:b/>
                <w:bCs/>
                <w:color w:val="000000"/>
                <w:sz w:val="20"/>
                <w:szCs w:val="20"/>
                <w14:textFill>
                  <w14:solidFill>
                    <w14:srgbClr w14:val="000000">
                      <w14:lumMod w14:val="65000"/>
                      <w14:lumOff w14:val="35000"/>
                    </w14:srgbClr>
                  </w14:solidFill>
                </w14:textFill>
              </w:rPr>
              <w:t>e.g.</w:t>
            </w:r>
            <w:proofErr w:type="gram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DU-based vs. MT-based reports.</w:t>
            </w:r>
          </w:p>
          <w:p w14:paraId="5D32DFA4" w14:textId="40ECDD50" w:rsidR="00187483" w:rsidRDefault="00187483">
            <w:pPr>
              <w:spacing w:after="0" w:line="240" w:lineRule="auto"/>
              <w:rPr>
                <w:rFonts w:ascii="CG Times (WN)" w:eastAsia="Batang" w:hAnsi="CG Times (WN)"/>
                <w:lang w:eastAsia="ko-KR"/>
              </w:rPr>
            </w:pP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proofErr w:type="gramStart"/>
      <w:r>
        <w:t>In regard to</w:t>
      </w:r>
      <w:proofErr w:type="gramEnd"/>
      <w:r>
        <w:t xml:space="preserve"> ETRI’s question, in the Rel-16 CLI framework the CU determines the CLI measurement and report configurations (via RRC </w:t>
      </w:r>
      <w:proofErr w:type="spellStart"/>
      <w:r>
        <w:t>signaling</w:t>
      </w:r>
      <w:proofErr w:type="spellEnd"/>
      <w:r>
        <w:t>).</w:t>
      </w:r>
    </w:p>
    <w:p w14:paraId="56576CC4" w14:textId="77777777" w:rsidR="00246DF7" w:rsidRDefault="0011481B">
      <w:r>
        <w:t xml:space="preserve">Based on the feedback most of the support for the proposal is for a L1/L2 reporting of CLI measurements to the parent node (the current proposal was not specific to L1/L2 reporting or L3 reporting, as some companies have correctly pointed out). On the other </w:t>
      </w:r>
      <w:proofErr w:type="gramStart"/>
      <w:r>
        <w:t>hand</w:t>
      </w:r>
      <w:proofErr w:type="gramEnd"/>
      <w:r>
        <w:t xml:space="preserve">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4310D60B" w14:textId="77777777">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tc>
          <w:tcPr>
            <w:tcW w:w="2243" w:type="dxa"/>
            <w:shd w:val="clear" w:color="auto" w:fill="auto"/>
          </w:tcPr>
          <w:p w14:paraId="759055F5"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D3E863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hint="eastAsia"/>
                <w:lang w:eastAsia="ko-KR"/>
              </w:rPr>
            </w:pPr>
            <w:proofErr w:type="gramStart"/>
            <w:r>
              <w:rPr>
                <w:rFonts w:ascii="CG Times (WN)" w:eastAsia="Batang" w:hAnsi="CG Times (WN)"/>
                <w:lang w:eastAsia="ko-KR"/>
              </w:rPr>
              <w:t>And,</w:t>
            </w:r>
            <w:proofErr w:type="gramEnd"/>
            <w:r>
              <w:rPr>
                <w:rFonts w:ascii="CG Times (WN)" w:eastAsia="Batang" w:hAnsi="CG Times (WN)"/>
                <w:lang w:eastAsia="ko-KR"/>
              </w:rPr>
              <w:t xml:space="preserve">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C3A7334" w14:textId="77777777">
        <w:tc>
          <w:tcPr>
            <w:tcW w:w="2243" w:type="dxa"/>
            <w:shd w:val="clear" w:color="auto" w:fill="auto"/>
          </w:tcPr>
          <w:p w14:paraId="37161342"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4EDA75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A48EE0" w14:textId="77777777">
        <w:tc>
          <w:tcPr>
            <w:tcW w:w="2243" w:type="dxa"/>
            <w:shd w:val="clear" w:color="auto" w:fill="auto"/>
          </w:tcPr>
          <w:p w14:paraId="39625241"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BFA6294"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7203AB" w14:paraId="439F874E" w14:textId="77777777">
        <w:tc>
          <w:tcPr>
            <w:tcW w:w="2243" w:type="dxa"/>
            <w:shd w:val="clear" w:color="auto" w:fill="auto"/>
          </w:tcPr>
          <w:p w14:paraId="777A16CB" w14:textId="0548D169" w:rsidR="007203AB" w:rsidRDefault="007203A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1C953C6" w14:textId="40684121" w:rsidR="007203AB" w:rsidRDefault="00046BE9">
            <w:pPr>
              <w:spacing w:after="0" w:line="240" w:lineRule="auto"/>
              <w:rPr>
                <w:rFonts w:ascii="CG Times (WN)" w:eastAsia="Batang" w:hAnsi="CG Times (WN)" w:hint="eastAsia"/>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 xml:space="preserve">different </w:t>
            </w:r>
            <w:proofErr w:type="spellStart"/>
            <w:r w:rsidR="000E6738">
              <w:rPr>
                <w:rFonts w:ascii="CG Times (WN)" w:eastAsia="Batang" w:hAnsi="CG Times (WN)"/>
                <w:lang w:eastAsia="ko-KR"/>
              </w:rPr>
              <w:t>signaling</w:t>
            </w:r>
            <w:proofErr w:type="spellEnd"/>
            <w:r w:rsidR="000E6738">
              <w:rPr>
                <w:rFonts w:ascii="CG Times (WN)" w:eastAsia="Batang" w:hAnsi="CG Times (WN)"/>
                <w:lang w:eastAsia="ko-KR"/>
              </w:rPr>
              <w:t xml:space="preserve">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tc>
          <w:tcPr>
            <w:tcW w:w="2243" w:type="dxa"/>
            <w:shd w:val="clear" w:color="auto" w:fill="auto"/>
          </w:tcPr>
          <w:p w14:paraId="3F8096A0" w14:textId="66C57ABD" w:rsidR="00322530" w:rsidRDefault="00133216">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431F4B25" w14:textId="101F98E5" w:rsidR="00322530" w:rsidRDefault="00526073" w:rsidP="00744433">
            <w:pPr>
              <w:spacing w:after="0" w:line="240" w:lineRule="auto"/>
              <w:rPr>
                <w:rFonts w:ascii="CG Times (WN)" w:eastAsia="Batang" w:hAnsi="CG Times (WN)" w:hint="eastAsia"/>
                <w:lang w:eastAsia="ko-KR"/>
              </w:rPr>
            </w:pPr>
            <w:r>
              <w:rPr>
                <w:rFonts w:ascii="CG Times (WN)" w:eastAsia="Batang" w:hAnsi="CG Times (WN)"/>
                <w:lang w:eastAsia="ko-KR"/>
              </w:rPr>
              <w:t xml:space="preserve">We share similar view as Vivo. </w:t>
            </w:r>
          </w:p>
        </w:tc>
      </w:tr>
      <w:tr w:rsidR="006B3B64" w14:paraId="4249E131" w14:textId="77777777">
        <w:tc>
          <w:tcPr>
            <w:tcW w:w="2243" w:type="dxa"/>
            <w:shd w:val="clear" w:color="auto" w:fill="auto"/>
          </w:tcPr>
          <w:p w14:paraId="72B04015" w14:textId="0BF2F16A" w:rsidR="006B3B64" w:rsidRDefault="006B3B64">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6E976D52" w14:textId="7A4A11ED" w:rsidR="006B3B64" w:rsidRDefault="006B3B64" w:rsidP="00744433">
            <w:pPr>
              <w:spacing w:after="0" w:line="240" w:lineRule="auto"/>
              <w:rPr>
                <w:rFonts w:ascii="CG Times (WN)" w:eastAsia="Batang" w:hAnsi="CG Times (WN)"/>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4D7819C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CA847DB"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w:t>
      </w:r>
      <w:proofErr w:type="gramStart"/>
      <w:r>
        <w:t>fairly broad</w:t>
      </w:r>
      <w:proofErr w:type="gramEnd"/>
      <w:r>
        <w:t xml:space="preserve">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w:t>
      </w:r>
      <w:proofErr w:type="spellStart"/>
      <w:r>
        <w:t>gNB</w:t>
      </w:r>
      <w:proofErr w:type="spellEnd"/>
      <w:r>
        <w:t>-CU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03D35BB" w14:textId="77777777">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tc>
          <w:tcPr>
            <w:tcW w:w="2243" w:type="dxa"/>
            <w:shd w:val="clear" w:color="auto" w:fill="auto"/>
          </w:tcPr>
          <w:p w14:paraId="34C01E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494E4CEA"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sz w:val="20"/>
                <w:szCs w:val="20"/>
                <w:lang w:eastAsia="ko-KR"/>
              </w:rPr>
              <w:t xml:space="preserve">We are generally fine with the proposal however it is our concern that frequent exchange of H/S/NA resource configuration is needed when it is dynamic. </w:t>
            </w:r>
            <w:proofErr w:type="gramStart"/>
            <w:r>
              <w:rPr>
                <w:rFonts w:ascii="CG Times (WN)" w:eastAsia="Batang" w:hAnsi="CG Times (WN)"/>
                <w:sz w:val="20"/>
                <w:szCs w:val="20"/>
                <w:lang w:eastAsia="ko-KR"/>
              </w:rPr>
              <w:t>Therefore</w:t>
            </w:r>
            <w:proofErr w:type="gramEnd"/>
            <w:r>
              <w:rPr>
                <w:rFonts w:ascii="CG Times (WN)" w:eastAsia="Batang" w:hAnsi="CG Times (WN)"/>
                <w:sz w:val="20"/>
                <w:szCs w:val="20"/>
                <w:lang w:eastAsia="ko-KR"/>
              </w:rPr>
              <w:t xml:space="preserve"> it should be noted that H/S/NA configuration is not exchanged in dynamic manner.</w:t>
            </w:r>
          </w:p>
        </w:tc>
      </w:tr>
      <w:tr w:rsidR="00246DF7" w14:paraId="2BE01265" w14:textId="77777777">
        <w:tc>
          <w:tcPr>
            <w:tcW w:w="2243" w:type="dxa"/>
            <w:shd w:val="clear" w:color="auto" w:fill="auto"/>
          </w:tcPr>
          <w:p w14:paraId="28B626B4"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EF79A1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D42AB4" w14:textId="77777777">
        <w:tc>
          <w:tcPr>
            <w:tcW w:w="2243" w:type="dxa"/>
            <w:shd w:val="clear" w:color="auto" w:fill="auto"/>
          </w:tcPr>
          <w:p w14:paraId="4E2E67A9"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54B965C"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070884" w14:paraId="44974378" w14:textId="77777777">
        <w:tc>
          <w:tcPr>
            <w:tcW w:w="2243" w:type="dxa"/>
            <w:shd w:val="clear" w:color="auto" w:fill="auto"/>
          </w:tcPr>
          <w:p w14:paraId="10761908" w14:textId="1E30A7EF" w:rsidR="00070884" w:rsidRDefault="00070884">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DAB02CD" w14:textId="256D76DA" w:rsidR="00070884" w:rsidRDefault="00070884">
            <w:pPr>
              <w:spacing w:after="0" w:line="240" w:lineRule="auto"/>
              <w:rPr>
                <w:rFonts w:ascii="CG Times (WN)" w:eastAsia="Batang" w:hAnsi="CG Times (WN)" w:hint="eastAsia"/>
                <w:lang w:eastAsia="ko-KR"/>
              </w:rPr>
            </w:pPr>
            <w:r>
              <w:rPr>
                <w:rFonts w:ascii="CG Times (WN)" w:eastAsia="Batang" w:hAnsi="CG Times (WN)"/>
                <w:lang w:eastAsia="ko-KR"/>
              </w:rPr>
              <w:t xml:space="preserve">We appreciate that </w:t>
            </w:r>
            <w:proofErr w:type="spellStart"/>
            <w:r>
              <w:rPr>
                <w:rFonts w:ascii="CG Times (WN)" w:eastAsia="Batang" w:hAnsi="CG Times (WN)"/>
                <w:lang w:eastAsia="ko-KR"/>
              </w:rPr>
              <w:t>signaling</w:t>
            </w:r>
            <w:proofErr w:type="spellEnd"/>
            <w:r>
              <w:rPr>
                <w:rFonts w:ascii="CG Times (WN)" w:eastAsia="Batang" w:hAnsi="CG Times (WN)"/>
                <w:lang w:eastAsia="ko-KR"/>
              </w:rPr>
              <w:t xml:space="preserve">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w:t>
            </w:r>
            <w:proofErr w:type="spellStart"/>
            <w:r w:rsidR="00C319F2">
              <w:rPr>
                <w:rFonts w:ascii="CG Times (WN)" w:eastAsia="Batang" w:hAnsi="CG Times (WN)"/>
                <w:lang w:eastAsia="ko-KR"/>
              </w:rPr>
              <w:t>signaling</w:t>
            </w:r>
            <w:proofErr w:type="spellEnd"/>
            <w:r w:rsidR="00C319F2">
              <w:rPr>
                <w:rFonts w:ascii="CG Times (WN)" w:eastAsia="Batang" w:hAnsi="CG Times (WN)"/>
                <w:lang w:eastAsia="ko-KR"/>
              </w:rPr>
              <w:t xml:space="preserve"> storm </w:t>
            </w:r>
            <w:r w:rsidR="00F816C3">
              <w:rPr>
                <w:rFonts w:ascii="CG Times (WN)" w:eastAsia="Batang" w:hAnsi="CG Times (WN)"/>
                <w:lang w:eastAsia="ko-KR"/>
              </w:rPr>
              <w:t>among</w:t>
            </w:r>
            <w:r w:rsidR="00C319F2">
              <w:rPr>
                <w:rFonts w:ascii="CG Times (WN)" w:eastAsia="Batang" w:hAnsi="CG Times (WN)"/>
                <w:lang w:eastAsia="ko-KR"/>
              </w:rPr>
              <w:t xml:space="preserve"> </w:t>
            </w:r>
            <w:proofErr w:type="spellStart"/>
            <w:r w:rsidR="00F816C3">
              <w:rPr>
                <w:rFonts w:ascii="CG Times (WN)" w:eastAsia="Batang" w:hAnsi="CG Times (WN)"/>
                <w:lang w:eastAsia="ko-KR"/>
              </w:rPr>
              <w:t>neighboring</w:t>
            </w:r>
            <w:proofErr w:type="spellEnd"/>
            <w:r w:rsidR="00F816C3">
              <w:rPr>
                <w:rFonts w:ascii="CG Times (WN)" w:eastAsia="Batang" w:hAnsi="CG Times (WN)"/>
                <w:lang w:eastAsia="ko-KR"/>
              </w:rPr>
              <w:t xml:space="preserve">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xml:space="preserve">, the benefits with incomplete </w:t>
            </w:r>
            <w:proofErr w:type="spellStart"/>
            <w:r>
              <w:rPr>
                <w:rFonts w:ascii="CG Times (WN)" w:eastAsia="Batang" w:hAnsi="CG Times (WN)"/>
                <w:lang w:eastAsia="ko-KR"/>
              </w:rPr>
              <w:t>signaling</w:t>
            </w:r>
            <w:proofErr w:type="spellEnd"/>
            <w:r>
              <w:rPr>
                <w:rFonts w:ascii="CG Times (WN)" w:eastAsia="Batang" w:hAnsi="CG Times (WN)"/>
                <w:lang w:eastAsia="ko-KR"/>
              </w:rPr>
              <w:t>,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tc>
          <w:tcPr>
            <w:tcW w:w="2243" w:type="dxa"/>
            <w:shd w:val="clear" w:color="auto" w:fill="auto"/>
          </w:tcPr>
          <w:p w14:paraId="720167B9" w14:textId="540973C9" w:rsidR="001711FF" w:rsidRDefault="001711FF">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3AF51520" w14:textId="45D82ED7" w:rsidR="001711FF" w:rsidRDefault="001711FF">
            <w:pPr>
              <w:spacing w:after="0" w:line="240" w:lineRule="auto"/>
              <w:rPr>
                <w:rFonts w:ascii="CG Times (WN)" w:eastAsia="Batang" w:hAnsi="CG Times (WN)" w:hint="eastAsia"/>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 xml:space="preserve">proposed signalling (if agreed) is optional </w:t>
            </w:r>
            <w:proofErr w:type="gramStart"/>
            <w:r w:rsidR="00B02285">
              <w:rPr>
                <w:rFonts w:ascii="CG Times (WN)" w:eastAsia="Batang" w:hAnsi="CG Times (WN)"/>
                <w:lang w:eastAsia="ko-KR"/>
              </w:rPr>
              <w:t>and  tran</w:t>
            </w:r>
            <w:r w:rsidR="00515EF1">
              <w:rPr>
                <w:rFonts w:ascii="CG Times (WN)" w:eastAsia="Batang" w:hAnsi="CG Times (WN)"/>
                <w:lang w:eastAsia="ko-KR"/>
              </w:rPr>
              <w:t>s</w:t>
            </w:r>
            <w:r w:rsidR="00B02285">
              <w:rPr>
                <w:rFonts w:ascii="CG Times (WN)" w:eastAsia="Batang" w:hAnsi="CG Times (WN)"/>
                <w:lang w:eastAsia="ko-KR"/>
              </w:rPr>
              <w:t>mitted</w:t>
            </w:r>
            <w:proofErr w:type="gramEnd"/>
            <w:r w:rsidR="00515EF1">
              <w:rPr>
                <w:rFonts w:ascii="CG Times (WN)" w:eastAsia="Batang" w:hAnsi="CG Times (WN)"/>
                <w:lang w:eastAsia="ko-KR"/>
              </w:rPr>
              <w:t xml:space="preserve"> semi-statically (not dynamic), we can support the proposal. </w:t>
            </w:r>
          </w:p>
        </w:tc>
      </w:tr>
      <w:tr w:rsidR="00187483" w14:paraId="22039DAE" w14:textId="77777777">
        <w:tc>
          <w:tcPr>
            <w:tcW w:w="2243" w:type="dxa"/>
            <w:shd w:val="clear" w:color="auto" w:fill="auto"/>
          </w:tcPr>
          <w:p w14:paraId="60D3AACF" w14:textId="768EA815"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334CBD36" w14:textId="70A0A2BB" w:rsidR="00187483" w:rsidRDefault="00187483">
            <w:pPr>
              <w:spacing w:after="0" w:line="240" w:lineRule="auto"/>
              <w:rPr>
                <w:rFonts w:ascii="CG Times (WN)" w:eastAsia="Batang" w:hAnsi="CG Times (WN)"/>
                <w:lang w:eastAsia="ko-KR"/>
              </w:rPr>
            </w:pPr>
            <w:r>
              <w:rPr>
                <w:rFonts w:ascii="CG Times (WN)" w:eastAsia="Batang" w:hAnsi="CG Times (WN)"/>
                <w:lang w:eastAsia="ko-KR"/>
              </w:rPr>
              <w:t>Agree with Intel.</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136CC9E6" w14:textId="77777777">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tc>
          <w:tcPr>
            <w:tcW w:w="2243" w:type="dxa"/>
            <w:shd w:val="clear" w:color="auto" w:fill="auto"/>
          </w:tcPr>
          <w:p w14:paraId="4F8A2CCF"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2E5DA2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tc>
          <w:tcPr>
            <w:tcW w:w="2243" w:type="dxa"/>
            <w:shd w:val="clear" w:color="auto" w:fill="auto"/>
          </w:tcPr>
          <w:p w14:paraId="422CF30A"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tc>
          <w:tcPr>
            <w:tcW w:w="2243" w:type="dxa"/>
            <w:shd w:val="clear" w:color="auto" w:fill="auto"/>
          </w:tcPr>
          <w:p w14:paraId="29FAB89F" w14:textId="51109BC0" w:rsidR="00246DF7" w:rsidRDefault="00571DD8">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2897D70" w14:textId="6B95BA3E" w:rsidR="00246DF7" w:rsidRDefault="00571DD8" w:rsidP="00237988">
            <w:pPr>
              <w:spacing w:after="0" w:line="240" w:lineRule="auto"/>
              <w:rPr>
                <w:rFonts w:ascii="CG Times (WN)" w:eastAsia="Batang" w:hAnsi="CG Times (WN)" w:hint="eastAsia"/>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tc>
          <w:tcPr>
            <w:tcW w:w="2243" w:type="dxa"/>
            <w:shd w:val="clear" w:color="auto" w:fill="auto"/>
          </w:tcPr>
          <w:p w14:paraId="275C0EB5" w14:textId="4DEB1837" w:rsidR="00246DF7" w:rsidRDefault="00030D2A">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11AD0182" w14:textId="53EF4888" w:rsidR="00246DF7" w:rsidRDefault="00030D2A" w:rsidP="00030D2A">
            <w:pPr>
              <w:spacing w:after="0" w:line="240" w:lineRule="auto"/>
              <w:rPr>
                <w:rFonts w:ascii="CG Times (WN)" w:eastAsia="Batang" w:hAnsi="CG Times (WN)" w:hint="eastAsia"/>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tc>
          <w:tcPr>
            <w:tcW w:w="2243" w:type="dxa"/>
            <w:shd w:val="clear" w:color="auto" w:fill="auto"/>
          </w:tcPr>
          <w:p w14:paraId="0EF18762" w14:textId="0114D30C"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02C791E6" w14:textId="6B8C0FFE" w:rsidR="00187483" w:rsidRDefault="00187483" w:rsidP="00030D2A">
            <w:pPr>
              <w:spacing w:after="0" w:line="240" w:lineRule="auto"/>
              <w:rPr>
                <w:rFonts w:ascii="CG Times (WN)" w:eastAsia="Batang" w:hAnsi="CG Times (WN)"/>
                <w:lang w:eastAsia="ko-KR"/>
              </w:rPr>
            </w:pPr>
            <w:r>
              <w:rPr>
                <w:rFonts w:ascii="CG Times (WN)" w:eastAsia="Batang" w:hAnsi="CG Times (WN)"/>
                <w:lang w:eastAsia="ko-KR"/>
              </w:rPr>
              <w:t xml:space="preserve">We believe the network should be able to operate as indicated by Proposal 2.4a if needed and this may be useful when defining RAN4 requirements. However, </w:t>
            </w:r>
            <w:proofErr w:type="gramStart"/>
            <w:r>
              <w:rPr>
                <w:rFonts w:ascii="CG Times (WN)" w:eastAsia="Batang" w:hAnsi="CG Times (WN)"/>
                <w:lang w:eastAsia="ko-KR"/>
              </w:rPr>
              <w:t>similar to</w:t>
            </w:r>
            <w:proofErr w:type="gramEnd"/>
            <w:r>
              <w:rPr>
                <w:rFonts w:ascii="CG Times (WN)" w:eastAsia="Batang" w:hAnsi="CG Times (WN)"/>
                <w:lang w:eastAsia="ko-KR"/>
              </w:rPr>
              <w:t xml:space="preserve">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lang w:eastAsia="ko-KR"/>
              </w:rPr>
            </w:pPr>
          </w:p>
          <w:p w14:paraId="25F61D3A" w14:textId="38BC5E88" w:rsidR="00187483" w:rsidRPr="00187483" w:rsidRDefault="00187483" w:rsidP="00030D2A">
            <w:pPr>
              <w:spacing w:after="0" w:line="240" w:lineRule="auto"/>
              <w:rPr>
                <w:rFonts w:ascii="CG Times (WN)" w:eastAsia="Batang" w:hAnsi="CG Times (WN)"/>
                <w:b/>
                <w:bCs/>
                <w:lang w:eastAsia="ko-KR"/>
              </w:rPr>
            </w:pPr>
            <w:r w:rsidRPr="00187483">
              <w:rPr>
                <w:rFonts w:ascii="CG Times (WN)" w:eastAsia="Batang" w:hAnsi="CG Times (WN)"/>
                <w:b/>
                <w:bCs/>
                <w:highlight w:val="yellow"/>
                <w:lang w:eastAsia="ko-KR"/>
              </w:rPr>
              <w:lastRenderedPageBreak/>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lang w:eastAsia="ko-KR"/>
              </w:rPr>
            </w:pP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CommentText"/>
              <w:spacing w:after="0"/>
              <w:rPr>
                <w:lang w:eastAsia="ko-KR"/>
              </w:rPr>
            </w:pPr>
            <w:r>
              <w:rPr>
                <w:lang w:eastAsia="ko-KR"/>
              </w:rPr>
              <w:t>We think CLI would benefit from agreeing on the following:</w:t>
            </w:r>
          </w:p>
          <w:p w14:paraId="01D1B75A" w14:textId="77777777" w:rsidR="00246DF7" w:rsidRDefault="0011481B">
            <w:pPr>
              <w:pStyle w:val="CommentText"/>
              <w:numPr>
                <w:ilvl w:val="0"/>
                <w:numId w:val="13"/>
              </w:numPr>
              <w:spacing w:after="0"/>
              <w:rPr>
                <w:lang w:eastAsia="ko-KR"/>
              </w:rPr>
            </w:pPr>
            <w:r>
              <w:rPr>
                <w:lang w:eastAsia="ko-KR"/>
              </w:rPr>
              <w:t>Differentiating access and backhaul slots, and</w:t>
            </w:r>
          </w:p>
          <w:p w14:paraId="65739B49" w14:textId="77777777" w:rsidR="00246DF7" w:rsidRDefault="0011481B">
            <w:pPr>
              <w:pStyle w:val="CommentText"/>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hint="eastAsia"/>
                <w:lang w:eastAsia="ko-KR"/>
              </w:rPr>
            </w:pPr>
            <w:r>
              <w:rPr>
                <w:rFonts w:eastAsiaTheme="minorEastAsia"/>
                <w:lang w:val="en-US" w:eastAsia="zh-CN"/>
              </w:rPr>
              <w:t xml:space="preserve">For interference migration and beam adaption for IAB DU, dynamic beam application </w:t>
            </w:r>
            <w:proofErr w:type="gramStart"/>
            <w:r>
              <w:rPr>
                <w:rFonts w:eastAsiaTheme="minorEastAsia"/>
                <w:lang w:val="en-US" w:eastAsia="zh-CN"/>
              </w:rPr>
              <w:t>indication(</w:t>
            </w:r>
            <w:proofErr w:type="gramEnd"/>
            <w:r>
              <w:rPr>
                <w:rFonts w:eastAsiaTheme="minorEastAsia"/>
                <w:lang w:val="en-US" w:eastAsia="zh-CN"/>
              </w:rPr>
              <w:t>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proofErr w:type="gramStart"/>
      <w:r>
        <w:t>In regard to</w:t>
      </w:r>
      <w:proofErr w:type="gramEnd"/>
      <w:r>
        <w:t xml:space="preserve">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hint="eastAsia"/>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E8CCDF9" w14:textId="77777777" w:rsidR="00246DF7" w:rsidRDefault="0011481B">
            <w:pPr>
              <w:spacing w:after="0" w:line="240" w:lineRule="auto"/>
              <w:rPr>
                <w:rFonts w:ascii="CG Times (WN)" w:eastAsia="Batang" w:hAnsi="CG Times (WN)" w:hint="eastAsia"/>
                <w:lang w:eastAsia="ja-JP"/>
              </w:rPr>
            </w:pPr>
            <w:r>
              <w:rPr>
                <w:rFonts w:ascii="CG Times (WN)" w:eastAsia="SimSun" w:hAnsi="CG Times (WN)"/>
                <w:lang w:val="en-US" w:eastAsia="zh-CN"/>
              </w:rPr>
              <w:t xml:space="preserve">We are fine with FL comments to discuss the dynamic beam application </w:t>
            </w:r>
            <w:proofErr w:type="gramStart"/>
            <w:r>
              <w:rPr>
                <w:rFonts w:ascii="CG Times (WN)" w:eastAsia="SimSun" w:hAnsi="CG Times (WN)"/>
                <w:lang w:val="en-US" w:eastAsia="zh-CN"/>
              </w:rPr>
              <w:t>indication(</w:t>
            </w:r>
            <w:proofErr w:type="gramEnd"/>
            <w:r>
              <w:rPr>
                <w:rFonts w:ascii="CG Times (WN)" w:eastAsia="SimSun" w:hAnsi="CG Times (WN)"/>
                <w:lang w:val="en-US" w:eastAsia="zh-CN"/>
              </w:rPr>
              <w:t>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55BED7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Heading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w:t>
            </w:r>
            <w:proofErr w:type="gramStart"/>
            <w:r>
              <w:rPr>
                <w:rFonts w:ascii="CG Times (WN)" w:hAnsi="CG Times (WN)"/>
                <w:i/>
                <w:iCs/>
                <w:sz w:val="20"/>
                <w:szCs w:val="20"/>
              </w:rPr>
              <w:t>depended</w:t>
            </w:r>
            <w:proofErr w:type="gramEnd"/>
            <w:r>
              <w:rPr>
                <w:rFonts w:ascii="CG Times (WN)" w:hAnsi="CG Times (WN)"/>
                <w:i/>
                <w:iCs/>
                <w:sz w:val="20"/>
                <w:szCs w:val="20"/>
              </w:rPr>
              <w:t xml:space="preserve">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72DBF6A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80E7592"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CommentText"/>
              <w:spacing w:after="0"/>
              <w:rPr>
                <w:lang w:eastAsia="ko-KR"/>
              </w:rPr>
            </w:pPr>
            <w:r>
              <w:rPr>
                <w:lang w:eastAsia="ko-KR"/>
              </w:rPr>
              <w:t>Support, we prefer Alt.1 using MAC-CE signalling.</w:t>
            </w:r>
          </w:p>
          <w:p w14:paraId="2861F96E" w14:textId="77777777" w:rsidR="00246DF7" w:rsidRDefault="00246DF7">
            <w:pPr>
              <w:pStyle w:val="CommentText"/>
              <w:spacing w:after="0"/>
              <w:rPr>
                <w:lang w:eastAsia="ko-KR"/>
              </w:rPr>
            </w:pPr>
          </w:p>
          <w:p w14:paraId="51AAB2AC" w14:textId="77777777" w:rsidR="00246DF7" w:rsidRDefault="0011481B">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F53B57">
            <w:pPr>
              <w:spacing w:after="0" w:line="240" w:lineRule="auto"/>
              <w:jc w:val="center"/>
              <w:rPr>
                <w:rFonts w:ascii="CG Times (WN)" w:eastAsia="Batang" w:hAnsi="CG Times (WN)" w:hint="eastAsia"/>
                <w:lang w:eastAsia="ko-KR"/>
              </w:rPr>
            </w:pPr>
            <w:r>
              <w:rPr>
                <w:noProof/>
              </w:rPr>
              <w:pict w14:anchorId="56DC13EE">
                <v:shape id="ole_rId5" o:spid="_x0000_i1025" alt="" style="width:344.05pt;height:204.2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 xml:space="preserve">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 xml:space="preserve">Regarding main bullet, generally power should be described under a certain </w:t>
            </w:r>
            <w:proofErr w:type="spellStart"/>
            <w:proofErr w:type="gramStart"/>
            <w:r>
              <w:rPr>
                <w:rFonts w:eastAsiaTheme="minorEastAsia"/>
                <w:lang w:val="en-US" w:eastAsia="zh-CN"/>
              </w:rPr>
              <w:t>bandwidth,e.g</w:t>
            </w:r>
            <w:proofErr w:type="spellEnd"/>
            <w:r>
              <w:rPr>
                <w:rFonts w:eastAsiaTheme="minorEastAsia"/>
                <w:lang w:val="en-US" w:eastAsia="zh-CN"/>
              </w:rPr>
              <w:t>.</w:t>
            </w:r>
            <w:proofErr w:type="gramEnd"/>
            <w:r>
              <w:rPr>
                <w:rFonts w:eastAsiaTheme="minorEastAsia"/>
                <w:lang w:val="en-US" w:eastAsia="zh-CN"/>
              </w:rPr>
              <w:t xml:space="preserve">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 xml:space="preserve">Based on the feedback the term “desired dynamic range” has been replaced with “desired IAB-MT PSD range”, aligned with the intent of the original wording but to avoid the potential confusion with same terminology used in other contexts, as pointed out by Huawei and Ericsson. </w:t>
      </w:r>
      <w:proofErr w:type="gramStart"/>
      <w:r>
        <w:t>Moreover</w:t>
      </w:r>
      <w:proofErr w:type="gramEnd"/>
      <w:r>
        <w:t xml:space="preserve"> PSD replaced power based on the suggestion from Huawei and ZTE with support from AT&amp;T and Vivo.</w:t>
      </w:r>
    </w:p>
    <w:p w14:paraId="3B8FDD6F" w14:textId="77777777" w:rsidR="00246DF7" w:rsidRDefault="0011481B">
      <w:r>
        <w:t xml:space="preserve">The concern from Lenovo </w:t>
      </w:r>
      <w:proofErr w:type="gramStart"/>
      <w:r>
        <w:t>seem</w:t>
      </w:r>
      <w:proofErr w:type="gramEnd"/>
      <w:r>
        <w:t xml:space="preserve"> related to </w:t>
      </w:r>
      <w:proofErr w:type="spellStart"/>
      <w:r>
        <w:t>signaling</w:t>
      </w:r>
      <w:proofErr w:type="spellEnd"/>
      <w:r>
        <w:t xml:space="preserve"> design. To hopefully address this concern, </w:t>
      </w:r>
      <w:proofErr w:type="gramStart"/>
      <w:r>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40F7B4BE"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258F5834" w14:textId="77777777" w:rsidR="00246DF7" w:rsidRDefault="00246DF7">
      <w:pPr>
        <w:rPr>
          <w:rFonts w:cs="Time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41100DA" w14:textId="77777777">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tc>
          <w:tcPr>
            <w:tcW w:w="2243" w:type="dxa"/>
            <w:shd w:val="clear" w:color="auto" w:fill="auto"/>
          </w:tcPr>
          <w:p w14:paraId="3B5A61AB"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1561B8FC"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prefer Alt. 1.</w:t>
            </w:r>
          </w:p>
        </w:tc>
      </w:tr>
      <w:tr w:rsidR="00246DF7" w14:paraId="4DA319F9" w14:textId="77777777">
        <w:tc>
          <w:tcPr>
            <w:tcW w:w="2243" w:type="dxa"/>
            <w:shd w:val="clear" w:color="auto" w:fill="auto"/>
          </w:tcPr>
          <w:p w14:paraId="3497FD12"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 xml:space="preserve">It could mean IAB-DU reporting to CU through F1-AP which means IAB-DU reports desired IAB-MT PSD range. </w:t>
            </w:r>
            <w:proofErr w:type="gramStart"/>
            <w:r>
              <w:rPr>
                <w:rFonts w:eastAsia="Batang"/>
                <w:lang w:eastAsia="ko-KR"/>
              </w:rPr>
              <w:t>Or,</w:t>
            </w:r>
            <w:proofErr w:type="gramEnd"/>
            <w:r>
              <w:rPr>
                <w:rFonts w:eastAsia="Batang"/>
                <w:lang w:eastAsia="ko-KR"/>
              </w:rPr>
              <w:t xml:space="preserve">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 xml:space="preserve">And we think the desired power control request needs a reference point, and PHR is a good point to start with. </w:t>
            </w:r>
            <w:proofErr w:type="gramStart"/>
            <w:r>
              <w:rPr>
                <w:rFonts w:eastAsia="Batang"/>
                <w:lang w:eastAsia="ko-KR"/>
              </w:rPr>
              <w:t>Therefore</w:t>
            </w:r>
            <w:proofErr w:type="gramEnd"/>
            <w:r>
              <w:rPr>
                <w:rFonts w:eastAsia="Batang"/>
                <w:lang w:eastAsia="ko-KR"/>
              </w:rPr>
              <w:t xml:space="preserve"> we support to signalling based on extension of PHR.</w:t>
            </w:r>
          </w:p>
        </w:tc>
      </w:tr>
      <w:tr w:rsidR="00246DF7" w14:paraId="3EAFBDA9" w14:textId="77777777">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 xml:space="preserve">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w:t>
            </w:r>
            <w:proofErr w:type="gramStart"/>
            <w:r>
              <w:rPr>
                <w:rFonts w:eastAsia="Batang"/>
                <w:lang w:eastAsia="ko-KR"/>
              </w:rPr>
              <w:t>to add</w:t>
            </w:r>
            <w:proofErr w:type="gramEnd"/>
            <w:r>
              <w:rPr>
                <w:rFonts w:eastAsia="Batang"/>
                <w:lang w:eastAsia="ko-KR"/>
              </w:rPr>
              <w:t xml:space="preserve">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Batang"/>
                <w:lang w:eastAsia="ko-KR"/>
              </w:rPr>
              <w:t>FFS MT behaviour is assigned UL power is out of the desired PSD range</w:t>
            </w:r>
          </w:p>
        </w:tc>
      </w:tr>
      <w:tr w:rsidR="00246DF7" w14:paraId="5F318961" w14:textId="77777777">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DD747F">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proofErr w:type="spellStart"/>
            <w:r>
              <w:t>CEWiT</w:t>
            </w:r>
            <w:proofErr w:type="spellEnd"/>
          </w:p>
        </w:tc>
        <w:tc>
          <w:tcPr>
            <w:tcW w:w="7381"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DD747F">
        <w:tc>
          <w:tcPr>
            <w:tcW w:w="2243" w:type="dxa"/>
            <w:tcBorders>
              <w:top w:val="single" w:sz="4" w:space="0" w:color="auto"/>
            </w:tcBorders>
            <w:shd w:val="clear" w:color="auto" w:fill="auto"/>
          </w:tcPr>
          <w:p w14:paraId="67A2FFAB" w14:textId="3B689860" w:rsidR="00DD747F" w:rsidRDefault="00DD747F">
            <w:pPr>
              <w:spacing w:after="0" w:line="240" w:lineRule="auto"/>
              <w:jc w:val="center"/>
            </w:pPr>
            <w:r>
              <w:t>Intel</w:t>
            </w:r>
          </w:p>
        </w:tc>
        <w:tc>
          <w:tcPr>
            <w:tcW w:w="7381" w:type="dxa"/>
            <w:tcBorders>
              <w:top w:val="single" w:sz="4" w:space="0" w:color="auto"/>
            </w:tcBorders>
            <w:shd w:val="clear" w:color="auto" w:fill="auto"/>
          </w:tcPr>
          <w:p w14:paraId="73373370" w14:textId="22F4CEF8" w:rsidR="00DD747F" w:rsidRDefault="00DD747F">
            <w:pPr>
              <w:spacing w:after="0" w:line="240" w:lineRule="auto"/>
              <w:jc w:val="both"/>
            </w:pPr>
            <w:r>
              <w:t>Support and prefer Alt.1.</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3EC0B902" w14:textId="77777777" w:rsidR="00246DF7" w:rsidRDefault="0011481B">
      <w:pPr>
        <w:rPr>
          <w:rFonts w:cs="Times"/>
        </w:rPr>
      </w:pPr>
      <w:r>
        <w:rPr>
          <w:rFonts w:cs="Times"/>
        </w:rPr>
        <w:lastRenderedPageBreak/>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TableGrid"/>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Batang"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D68FC54"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 xml:space="preserve">FFS applicability of assistance information, </w:t>
            </w:r>
            <w:proofErr w:type="gramStart"/>
            <w:r>
              <w:rPr>
                <w:rFonts w:ascii="Times New Roman" w:hAnsi="Times New Roman" w:cs="Times New Roman"/>
                <w:b/>
                <w:bCs/>
                <w:sz w:val="20"/>
                <w:szCs w:val="18"/>
              </w:rPr>
              <w:t>e.g.</w:t>
            </w:r>
            <w:proofErr w:type="gramEnd"/>
            <w:r>
              <w:rPr>
                <w:rFonts w:ascii="Times New Roman" w:hAnsi="Times New Roman" w:cs="Times New Roman"/>
                <w:b/>
                <w:bCs/>
                <w:sz w:val="20"/>
                <w:szCs w:val="18"/>
              </w:rPr>
              <w:t xml:space="preserve">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xml:space="preserve">. </w:t>
            </w:r>
            <w:proofErr w:type="gramStart"/>
            <w:r>
              <w:rPr>
                <w:rFonts w:eastAsia="SimSun"/>
                <w:lang w:val="en-US" w:eastAsia="zh-CN"/>
              </w:rPr>
              <w:t>So</w:t>
            </w:r>
            <w:proofErr w:type="gramEnd"/>
            <w:r>
              <w:rPr>
                <w:rFonts w:eastAsia="SimSun"/>
                <w:lang w:val="en-US" w:eastAsia="zh-CN"/>
              </w:rPr>
              <w:t xml:space="preserve">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FL Proposal 1.3b. The concern from Nokia seems related to </w:t>
      </w:r>
      <w:proofErr w:type="spellStart"/>
      <w:r>
        <w:rPr>
          <w:rFonts w:eastAsia="MS PGothic" w:cstheme="minorHAnsi"/>
          <w:lang w:eastAsia="ja-JP"/>
        </w:rPr>
        <w:t>signaling</w:t>
      </w:r>
      <w:proofErr w:type="spellEnd"/>
      <w:r>
        <w:rPr>
          <w:rFonts w:eastAsia="MS PGothic" w:cstheme="minorHAnsi"/>
          <w:lang w:eastAsia="ja-JP"/>
        </w:rPr>
        <w:t xml:space="preserve">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6434A9E0" w14:textId="77777777">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tc>
          <w:tcPr>
            <w:tcW w:w="2243" w:type="dxa"/>
            <w:shd w:val="clear" w:color="auto" w:fill="auto"/>
          </w:tcPr>
          <w:p w14:paraId="5365E9D7"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07C8B36D"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527924CC"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C219ED">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proofErr w:type="spellStart"/>
            <w:r>
              <w:t>CEWiT</w:t>
            </w:r>
            <w:proofErr w:type="spellEnd"/>
          </w:p>
        </w:tc>
        <w:tc>
          <w:tcPr>
            <w:tcW w:w="7381"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C219ED">
        <w:tc>
          <w:tcPr>
            <w:tcW w:w="2243" w:type="dxa"/>
            <w:tcBorders>
              <w:top w:val="single" w:sz="4" w:space="0" w:color="auto"/>
            </w:tcBorders>
            <w:shd w:val="clear" w:color="auto" w:fill="auto"/>
          </w:tcPr>
          <w:p w14:paraId="2C62B1D0" w14:textId="3B2F44ED" w:rsidR="00C219ED" w:rsidRDefault="00C219ED">
            <w:pPr>
              <w:spacing w:after="0" w:line="240" w:lineRule="auto"/>
              <w:jc w:val="center"/>
            </w:pPr>
            <w:r>
              <w:t>Intel</w:t>
            </w:r>
          </w:p>
        </w:tc>
        <w:tc>
          <w:tcPr>
            <w:tcW w:w="7381" w:type="dxa"/>
            <w:tcBorders>
              <w:top w:val="single" w:sz="4" w:space="0" w:color="auto"/>
            </w:tcBorders>
            <w:shd w:val="clear" w:color="auto" w:fill="auto"/>
          </w:tcPr>
          <w:p w14:paraId="614C503A" w14:textId="09F453A3" w:rsidR="00C219ED" w:rsidRDefault="00C219ED">
            <w:pPr>
              <w:spacing w:after="0" w:line="240" w:lineRule="auto"/>
              <w:jc w:val="both"/>
            </w:pPr>
            <w:r>
              <w:t>Support.</w:t>
            </w: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lastRenderedPageBreak/>
        <w:t>A few (at least 4) companies also proposed to support indications, from the parent node to the child node, about the requested DL TX power adjustment. Some examples:</w:t>
      </w:r>
    </w:p>
    <w:p w14:paraId="54F1A7E0"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ListParagraph"/>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 xml:space="preserve">We are OK with this proposal in general. But we suggest </w:t>
            </w:r>
            <w:proofErr w:type="gramStart"/>
            <w:r>
              <w:rPr>
                <w:rFonts w:eastAsiaTheme="minorEastAsia"/>
                <w:lang w:eastAsia="zh-CN"/>
              </w:rPr>
              <w:t>to consider</w:t>
            </w:r>
            <w:proofErr w:type="gramEnd"/>
            <w:r>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signaling</w:t>
      </w:r>
      <w:proofErr w:type="spellEnd"/>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TableGrid"/>
        <w:tblW w:w="9625" w:type="dxa"/>
        <w:tblLook w:val="04A0" w:firstRow="1" w:lastRow="0" w:firstColumn="1" w:lastColumn="0" w:noHBand="0" w:noVBand="1"/>
      </w:tblPr>
      <w:tblGrid>
        <w:gridCol w:w="2243"/>
        <w:gridCol w:w="7382"/>
      </w:tblGrid>
      <w:tr w:rsidR="00246DF7" w14:paraId="399083F4" w14:textId="77777777">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tc>
          <w:tcPr>
            <w:tcW w:w="2243" w:type="dxa"/>
            <w:shd w:val="clear" w:color="auto" w:fill="auto"/>
          </w:tcPr>
          <w:p w14:paraId="78230A78"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73558DD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w:t>
            </w:r>
          </w:p>
        </w:tc>
      </w:tr>
      <w:tr w:rsidR="00246DF7" w14:paraId="398AAD73" w14:textId="77777777">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0FDC08CA"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Batang"/>
                <w:lang w:eastAsia="ko-KR"/>
              </w:rPr>
              <w:t xml:space="preserve">However, if parent indicates the PDSCH transmission power after the DL PC, it </w:t>
            </w:r>
            <w:proofErr w:type="spellStart"/>
            <w:r>
              <w:rPr>
                <w:rFonts w:eastAsia="Batang"/>
                <w:lang w:eastAsia="ko-KR"/>
              </w:rPr>
              <w:t>maybe</w:t>
            </w:r>
            <w:proofErr w:type="spellEnd"/>
            <w:r>
              <w:rPr>
                <w:rFonts w:eastAsia="Batang"/>
                <w:lang w:eastAsia="ko-KR"/>
              </w:rPr>
              <w:t xml:space="preserve"> beneficial for child DU to determine UL/DL power. </w:t>
            </w:r>
          </w:p>
        </w:tc>
      </w:tr>
      <w:tr w:rsidR="00246DF7" w14:paraId="2B13AE10" w14:textId="77777777">
        <w:tc>
          <w:tcPr>
            <w:tcW w:w="2243" w:type="dxa"/>
            <w:shd w:val="clear" w:color="auto" w:fill="auto"/>
          </w:tcPr>
          <w:p w14:paraId="6987B963"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E93B42">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proofErr w:type="spellStart"/>
            <w:r>
              <w:t>CEWiT</w:t>
            </w:r>
            <w:proofErr w:type="spellEnd"/>
          </w:p>
        </w:tc>
        <w:tc>
          <w:tcPr>
            <w:tcW w:w="7381"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E93B42">
        <w:tc>
          <w:tcPr>
            <w:tcW w:w="2243" w:type="dxa"/>
            <w:tcBorders>
              <w:top w:val="single" w:sz="4" w:space="0" w:color="auto"/>
            </w:tcBorders>
            <w:shd w:val="clear" w:color="auto" w:fill="auto"/>
          </w:tcPr>
          <w:p w14:paraId="1E4F5EA6" w14:textId="150FB6B8" w:rsidR="00E93B42" w:rsidRDefault="00E93B42">
            <w:pPr>
              <w:spacing w:after="0" w:line="240" w:lineRule="auto"/>
              <w:jc w:val="center"/>
            </w:pPr>
            <w:r>
              <w:t>Intel</w:t>
            </w:r>
          </w:p>
        </w:tc>
        <w:tc>
          <w:tcPr>
            <w:tcW w:w="7381" w:type="dxa"/>
            <w:tcBorders>
              <w:top w:val="single" w:sz="4" w:space="0" w:color="auto"/>
            </w:tcBorders>
            <w:shd w:val="clear" w:color="auto" w:fill="auto"/>
          </w:tcPr>
          <w:p w14:paraId="65EED102" w14:textId="000DF846" w:rsidR="00E93B42" w:rsidRDefault="00E93B42">
            <w:pPr>
              <w:spacing w:after="0" w:line="240" w:lineRule="auto"/>
              <w:jc w:val="both"/>
            </w:pPr>
            <w:r>
              <w:t>Support</w:t>
            </w:r>
          </w:p>
        </w:tc>
      </w:tr>
    </w:tbl>
    <w:p w14:paraId="484B62DD" w14:textId="77777777" w:rsidR="00246DF7" w:rsidRDefault="00246DF7">
      <w:pPr>
        <w:rPr>
          <w:b/>
          <w:bCs/>
          <w:color w:val="00B050"/>
        </w:rPr>
      </w:pPr>
    </w:p>
    <w:p w14:paraId="0F1CA16A" w14:textId="77777777" w:rsidR="00246DF7" w:rsidRDefault="0011481B">
      <w:bookmarkStart w:id="11" w:name="_Hlk80045156"/>
      <w:bookmarkEnd w:id="11"/>
      <w:r>
        <w:t xml:space="preserve">In response to LG’s comment on the association with spatial configuration, it should be noted that this proposal is specular to FL Proposal 3.2b, so </w:t>
      </w:r>
      <w:proofErr w:type="gramStart"/>
      <w:r>
        <w:t>this proposals</w:t>
      </w:r>
      <w:proofErr w:type="gramEnd"/>
      <w:r>
        <w:t xml:space="preserve"> only provides the indication of an actual DL Tx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w:t>
      </w:r>
      <w:proofErr w:type="gramStart"/>
      <w:r>
        <w:rPr>
          <w:rFonts w:eastAsia="MS PGothic" w:cstheme="minorHAnsi"/>
          <w:lang w:eastAsia="ja-JP"/>
        </w:rPr>
        <w:t>of  FL</w:t>
      </w:r>
      <w:proofErr w:type="gramEnd"/>
      <w:r>
        <w:rPr>
          <w:rFonts w:eastAsia="MS PGothic" w:cstheme="minorHAnsi"/>
          <w:lang w:eastAsia="ja-JP"/>
        </w:rPr>
        <w:t xml:space="preserve">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1146D76C" w14:textId="77777777">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tc>
          <w:tcPr>
            <w:tcW w:w="2243" w:type="dxa"/>
            <w:shd w:val="clear" w:color="auto" w:fill="auto"/>
          </w:tcPr>
          <w:p w14:paraId="65C2F611" w14:textId="77777777" w:rsidR="00246DF7" w:rsidRDefault="0011481B">
            <w:pPr>
              <w:spacing w:after="0" w:line="240" w:lineRule="auto"/>
              <w:jc w:val="center"/>
              <w:rPr>
                <w:rFonts w:ascii="CG Times (WN)" w:eastAsia="Batang" w:hAnsi="CG Times (WN)" w:hint="eastAsia"/>
              </w:rPr>
            </w:pPr>
            <w:r>
              <w:rPr>
                <w:rFonts w:ascii="CG Times (WN)" w:eastAsia="SimSun" w:hAnsi="CG Times (WN)"/>
                <w:lang w:val="en-US" w:eastAsia="zh-CN"/>
              </w:rPr>
              <w:t>ZTE</w:t>
            </w:r>
          </w:p>
        </w:tc>
        <w:tc>
          <w:tcPr>
            <w:tcW w:w="7381" w:type="dxa"/>
            <w:shd w:val="clear" w:color="auto" w:fill="auto"/>
          </w:tcPr>
          <w:p w14:paraId="0366CDFC" w14:textId="77777777" w:rsidR="00246DF7" w:rsidRDefault="0011481B">
            <w:pPr>
              <w:pStyle w:val="YJ-Proposal"/>
              <w:widowControl w:val="0"/>
              <w:spacing w:before="120" w:after="120"/>
              <w:rPr>
                <w:rFonts w:ascii="CG Times (WN)" w:eastAsia="Batang" w:hAnsi="CG Times (WN)" w:hint="eastAsia"/>
                <w:lang w:eastAsia="ja-JP"/>
              </w:rPr>
            </w:pPr>
            <w:r>
              <w:rPr>
                <w:b w:val="0"/>
                <w:bCs w:val="0"/>
                <w:i w:val="0"/>
                <w:iCs w:val="0"/>
                <w:lang w:val="en-US" w:eastAsia="zh-CN"/>
              </w:rPr>
              <w:t xml:space="preserve">Considering a IAB would operate in one of multiplexing mode, and for each </w:t>
            </w:r>
            <w:proofErr w:type="spellStart"/>
            <w:r>
              <w:rPr>
                <w:b w:val="0"/>
                <w:bCs w:val="0"/>
                <w:i w:val="0"/>
                <w:iCs w:val="0"/>
                <w:lang w:val="en-US" w:eastAsia="zh-CN"/>
              </w:rPr>
              <w:t>multplexing</w:t>
            </w:r>
            <w:proofErr w:type="spellEnd"/>
            <w:r>
              <w:rPr>
                <w:b w:val="0"/>
                <w:bCs w:val="0"/>
                <w:i w:val="0"/>
                <w:iCs w:val="0"/>
                <w:lang w:val="en-US" w:eastAsia="zh-CN"/>
              </w:rPr>
              <w:t xml:space="preserve"> mode, the maximum power and best beam would be different for IAB-MT. </w:t>
            </w:r>
            <w:proofErr w:type="gramStart"/>
            <w:r>
              <w:rPr>
                <w:b w:val="0"/>
                <w:bCs w:val="0"/>
                <w:i w:val="0"/>
                <w:iCs w:val="0"/>
                <w:lang w:val="en-US" w:eastAsia="zh-CN"/>
              </w:rPr>
              <w:t>So</w:t>
            </w:r>
            <w:proofErr w:type="gramEnd"/>
            <w:r>
              <w:rPr>
                <w:b w:val="0"/>
                <w:bCs w:val="0"/>
                <w:i w:val="0"/>
                <w:iCs w:val="0"/>
                <w:lang w:val="en-US" w:eastAsia="zh-CN"/>
              </w:rPr>
              <w:t xml:space="preserve">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246DF7" w14:paraId="1427D61E" w14:textId="77777777">
        <w:tc>
          <w:tcPr>
            <w:tcW w:w="2243" w:type="dxa"/>
            <w:shd w:val="clear" w:color="auto" w:fill="auto"/>
          </w:tcPr>
          <w:p w14:paraId="7DCC6B78"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643DAA6"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04CA4B7" w14:textId="77777777">
        <w:tc>
          <w:tcPr>
            <w:tcW w:w="2243" w:type="dxa"/>
            <w:shd w:val="clear" w:color="auto" w:fill="auto"/>
          </w:tcPr>
          <w:p w14:paraId="574DFF2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6641AB11" w14:textId="77777777" w:rsidR="00246DF7" w:rsidRDefault="00246DF7">
            <w:pPr>
              <w:spacing w:after="0" w:line="240" w:lineRule="auto"/>
              <w:jc w:val="center"/>
              <w:rPr>
                <w:rFonts w:ascii="CG Times (WN)" w:eastAsia="Batang" w:hAnsi="CG Times (WN)" w:hint="eastAsia"/>
                <w:lang w:eastAsia="ko-KR"/>
              </w:rPr>
            </w:pPr>
          </w:p>
        </w:tc>
      </w:tr>
      <w:tr w:rsidR="00246DF7" w14:paraId="64FB88D0" w14:textId="77777777">
        <w:tc>
          <w:tcPr>
            <w:tcW w:w="2243" w:type="dxa"/>
            <w:shd w:val="clear" w:color="auto" w:fill="auto"/>
          </w:tcPr>
          <w:p w14:paraId="1757A56C"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871E8C5" w14:textId="77777777" w:rsidR="00246DF7" w:rsidRDefault="00246DF7">
            <w:pPr>
              <w:spacing w:after="0" w:line="240" w:lineRule="auto"/>
              <w:jc w:val="center"/>
              <w:rPr>
                <w:rFonts w:ascii="CG Times (WN)" w:eastAsia="Batang"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14FA" w14:textId="77777777" w:rsidR="00F53B57" w:rsidRDefault="00F53B57" w:rsidP="008D3A6F">
      <w:pPr>
        <w:spacing w:after="0" w:line="240" w:lineRule="auto"/>
      </w:pPr>
      <w:r>
        <w:separator/>
      </w:r>
    </w:p>
  </w:endnote>
  <w:endnote w:type="continuationSeparator" w:id="0">
    <w:p w14:paraId="1E5C7946" w14:textId="77777777" w:rsidR="00F53B57" w:rsidRDefault="00F53B57"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Ĕ"/>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1"/>
    <w:family w:val="roman"/>
    <w:pitch w:val="variable"/>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1"/>
    <w:family w:val="roman"/>
    <w:pitch w:val="variable"/>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9CC4" w14:textId="77777777" w:rsidR="00F53B57" w:rsidRDefault="00F53B57" w:rsidP="008D3A6F">
      <w:pPr>
        <w:spacing w:after="0" w:line="240" w:lineRule="auto"/>
      </w:pPr>
      <w:r>
        <w:separator/>
      </w:r>
    </w:p>
  </w:footnote>
  <w:footnote w:type="continuationSeparator" w:id="0">
    <w:p w14:paraId="09D3E4D9" w14:textId="77777777" w:rsidR="00F53B57" w:rsidRDefault="00F53B57"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30D2A"/>
    <w:rsid w:val="00046BE9"/>
    <w:rsid w:val="00070884"/>
    <w:rsid w:val="00085D9B"/>
    <w:rsid w:val="000E6738"/>
    <w:rsid w:val="001050F6"/>
    <w:rsid w:val="0011481B"/>
    <w:rsid w:val="00133216"/>
    <w:rsid w:val="0014168A"/>
    <w:rsid w:val="001711FF"/>
    <w:rsid w:val="00187483"/>
    <w:rsid w:val="00237988"/>
    <w:rsid w:val="00246DF7"/>
    <w:rsid w:val="00260A89"/>
    <w:rsid w:val="00281B04"/>
    <w:rsid w:val="002D683F"/>
    <w:rsid w:val="00322530"/>
    <w:rsid w:val="0034420A"/>
    <w:rsid w:val="003D25FB"/>
    <w:rsid w:val="004C5C25"/>
    <w:rsid w:val="00515EF1"/>
    <w:rsid w:val="00526073"/>
    <w:rsid w:val="00571DD8"/>
    <w:rsid w:val="0058714A"/>
    <w:rsid w:val="006449E7"/>
    <w:rsid w:val="00676368"/>
    <w:rsid w:val="006B3B64"/>
    <w:rsid w:val="00717FB7"/>
    <w:rsid w:val="007203AB"/>
    <w:rsid w:val="00744433"/>
    <w:rsid w:val="00776CC8"/>
    <w:rsid w:val="0079623F"/>
    <w:rsid w:val="007B5FCA"/>
    <w:rsid w:val="007E0214"/>
    <w:rsid w:val="008449FE"/>
    <w:rsid w:val="00871092"/>
    <w:rsid w:val="00875D65"/>
    <w:rsid w:val="008B2371"/>
    <w:rsid w:val="008D3A6F"/>
    <w:rsid w:val="009D2EC9"/>
    <w:rsid w:val="009D3C77"/>
    <w:rsid w:val="00A01B58"/>
    <w:rsid w:val="00A07427"/>
    <w:rsid w:val="00A22D23"/>
    <w:rsid w:val="00A67AA5"/>
    <w:rsid w:val="00A90615"/>
    <w:rsid w:val="00B02285"/>
    <w:rsid w:val="00B80DAF"/>
    <w:rsid w:val="00C219ED"/>
    <w:rsid w:val="00C319F2"/>
    <w:rsid w:val="00C464D5"/>
    <w:rsid w:val="00D44323"/>
    <w:rsid w:val="00D8608E"/>
    <w:rsid w:val="00DD747F"/>
    <w:rsid w:val="00DE4DE9"/>
    <w:rsid w:val="00E90CEB"/>
    <w:rsid w:val="00E93B42"/>
    <w:rsid w:val="00EA6542"/>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Heading1">
    <w:name w:val="heading 1"/>
    <w:basedOn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pPr>
      <w:spacing w:before="180"/>
      <w:outlineLvl w:val="1"/>
    </w:pPr>
    <w:rPr>
      <w:sz w:val="32"/>
    </w:rPr>
  </w:style>
  <w:style w:type="paragraph" w:styleId="Heading3">
    <w:name w:val="heading 3"/>
    <w:basedOn w:val="Heading2"/>
    <w:qFormat/>
    <w:pPr>
      <w:spacing w:before="120"/>
      <w:outlineLvl w:val="2"/>
    </w:pPr>
    <w:rPr>
      <w:sz w:val="28"/>
    </w:rPr>
  </w:style>
  <w:style w:type="paragraph" w:styleId="Heading4">
    <w:name w:val="heading 4"/>
    <w:basedOn w:val="Heading3"/>
    <w:qFormat/>
    <w:pPr>
      <w:ind w:left="1418" w:hanging="1418"/>
      <w:outlineLvl w:val="3"/>
    </w:pPr>
    <w:rPr>
      <w:sz w:val="24"/>
    </w:rPr>
  </w:style>
  <w:style w:type="paragraph" w:styleId="Heading5">
    <w:name w:val="heading 5"/>
    <w:basedOn w:val="Heading4"/>
    <w:qFormat/>
    <w:pPr>
      <w:ind w:left="1701" w:hanging="1701"/>
      <w:outlineLvl w:val="4"/>
    </w:pPr>
    <w:rPr>
      <w:sz w:val="22"/>
    </w:rPr>
  </w:style>
  <w:style w:type="paragraph" w:styleId="Heading6">
    <w:name w:val="heading 6"/>
    <w:basedOn w:val="Normal"/>
    <w:qFormat/>
    <w:pPr>
      <w:widowControl w:val="0"/>
      <w:spacing w:after="200"/>
      <w:outlineLvl w:val="5"/>
    </w:pPr>
  </w:style>
  <w:style w:type="paragraph" w:styleId="Heading7">
    <w:name w:val="heading 7"/>
    <w:basedOn w:val="Normal"/>
    <w:qFormat/>
    <w:pPr>
      <w:widowControl w:val="0"/>
      <w:spacing w:after="200"/>
      <w:outlineLvl w:val="6"/>
    </w:pPr>
  </w:style>
  <w:style w:type="paragraph" w:styleId="Heading8">
    <w:name w:val="heading 8"/>
    <w:basedOn w:val="Heading1"/>
    <w:qFormat/>
    <w:pPr>
      <w:ind w:left="0" w:firstLine="0"/>
      <w:outlineLvl w:val="7"/>
    </w:pPr>
  </w:style>
  <w:style w:type="paragraph" w:styleId="Heading9">
    <w:name w:val="heading 9"/>
    <w:basedOn w:val="Heading8"/>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Char">
    <w:name w:val="제목 Char"/>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DefaultParagraphFon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DefaultParagraphFont"/>
    <w:uiPriority w:val="99"/>
    <w:qFormat/>
    <w:rPr>
      <w:rFonts w:ascii="Segoe UI" w:hAnsi="Segoe UI" w:cs="Segoe UI"/>
      <w:sz w:val="18"/>
      <w:szCs w:val="18"/>
      <w:lang w:val="en-GB"/>
    </w:rPr>
  </w:style>
  <w:style w:type="character" w:customStyle="1" w:styleId="Char3">
    <w:name w:val="문서 구조 Char"/>
    <w:basedOn w:val="DefaultParagraphFont"/>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DefaultParagraphFont"/>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DefaultParagraphFont"/>
    <w:semiHidden/>
    <w:qFormat/>
    <w:rPr>
      <w:rFonts w:ascii="Arial" w:eastAsia="Times New Roman" w:hAnsi="Arial" w:cs="Times New Roman"/>
      <w:b/>
      <w:sz w:val="18"/>
      <w:szCs w:val="20"/>
      <w:lang w:val="en-GB"/>
    </w:rPr>
  </w:style>
  <w:style w:type="character" w:customStyle="1" w:styleId="Char11">
    <w:name w:val="바닥글 Char1"/>
    <w:basedOn w:val="DefaultParagraphFont"/>
    <w:semiHidden/>
    <w:qFormat/>
    <w:rPr>
      <w:rFonts w:ascii="Times New Roman" w:eastAsia="Times New Roman" w:hAnsi="Times New Roman" w:cs="Times New Roman"/>
      <w:sz w:val="16"/>
      <w:szCs w:val="20"/>
      <w:lang w:val="en-GB"/>
    </w:rPr>
  </w:style>
  <w:style w:type="character" w:customStyle="1" w:styleId="Char7">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2">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9">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uiPriority w:val="99"/>
    <w:qFormat/>
    <w:pPr>
      <w:spacing w:after="120"/>
      <w:jc w:val="both"/>
      <w:textAlignment w:val="auto"/>
    </w:pPr>
    <w:rPr>
      <w:rFonts w:ascii="Segoe UI" w:eastAsiaTheme="minorHAnsi" w:hAnsi="Segoe UI" w:cs="Segoe UI"/>
      <w:sz w:val="18"/>
      <w:szCs w:val="18"/>
    </w:rPr>
  </w:style>
  <w:style w:type="paragraph" w:styleId="List">
    <w:name w:val="List"/>
    <w:basedOn w:val="Normal"/>
    <w:semiHidden/>
    <w:qFormat/>
    <w:pPr>
      <w:ind w:left="568" w:hanging="284"/>
    </w:pPr>
  </w:style>
  <w:style w:type="paragraph" w:styleId="Caption">
    <w:name w:val="caption"/>
    <w:basedOn w:val="Normal"/>
    <w:unhideWhenUsed/>
    <w:qFormat/>
    <w:pPr>
      <w:spacing w:after="200"/>
    </w:pPr>
    <w:rPr>
      <w:rFonts w:ascii="Times" w:eastAsiaTheme="minorHAnsi" w:hAnsi="Times" w:cstheme="minorBidi"/>
      <w:sz w:val="22"/>
      <w:szCs w:val="24"/>
      <w:lang w:val="en-US"/>
    </w:rPr>
  </w:style>
  <w:style w:type="paragraph" w:customStyle="1" w:styleId="Index">
    <w:name w:val="Index"/>
    <w:basedOn w:val="Normal"/>
    <w:qFormat/>
    <w:pPr>
      <w:suppressLineNumbers/>
    </w:pPr>
    <w:rPr>
      <w:rFonts w:cs="Lohit Devanagari"/>
    </w:rPr>
  </w:style>
  <w:style w:type="paragraph" w:styleId="TOC7">
    <w:name w:val="toc 7"/>
    <w:basedOn w:val="TOC6"/>
    <w:semiHidden/>
    <w:qFormat/>
    <w:pPr>
      <w:ind w:left="2268" w:hanging="2268"/>
    </w:pPr>
  </w:style>
  <w:style w:type="paragraph" w:styleId="TOC6">
    <w:name w:val="toc 6"/>
    <w:basedOn w:val="TOC5"/>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basedOn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Bullet">
    <w:name w:val="List Bullet"/>
    <w:basedOn w:val="List"/>
    <w:semiHidden/>
    <w:qFormat/>
  </w:style>
  <w:style w:type="paragraph" w:styleId="DocumentMap">
    <w:name w:val="Document Map"/>
    <w:basedOn w:val="Normal"/>
    <w:semiHidden/>
    <w:unhideWhenUsed/>
    <w:qFormat/>
    <w:pPr>
      <w:spacing w:after="0"/>
    </w:pPr>
    <w:rPr>
      <w:rFonts w:cstheme="minorBidi"/>
      <w:i/>
      <w:iCs/>
      <w:color w:val="44546A" w:themeColor="text2"/>
      <w:sz w:val="18"/>
      <w:szCs w:val="18"/>
    </w:rPr>
  </w:style>
  <w:style w:type="paragraph" w:styleId="CommentText">
    <w:name w:val="annotation text"/>
    <w:basedOn w:val="Normal"/>
    <w:uiPriority w:val="99"/>
    <w:unhideWhenUsed/>
    <w:qFormat/>
    <w:pPr>
      <w:spacing w:line="240" w:lineRule="auto"/>
    </w:pPr>
    <w:rPr>
      <w:rFonts w:ascii="Tahoma" w:hAnsi="Tahoma" w:cs="Tahoma"/>
      <w:sz w:val="16"/>
      <w:szCs w:val="16"/>
    </w:rPr>
  </w:style>
  <w:style w:type="paragraph" w:styleId="ListBullet2">
    <w:name w:val="List Bullet 2"/>
    <w:basedOn w:val="ListBullet"/>
    <w:semiHidden/>
    <w:qFormat/>
    <w:pPr>
      <w:ind w:left="851" w:firstLine="0"/>
    </w:pPr>
  </w:style>
  <w:style w:type="paragraph" w:styleId="TOC8">
    <w:name w:val="toc 8"/>
    <w:basedOn w:val="TOC1"/>
    <w:semiHidden/>
    <w:qFormat/>
    <w:pPr>
      <w:spacing w:before="180"/>
      <w:ind w:left="2693" w:hanging="2693"/>
    </w:pPr>
    <w:rPr>
      <w:b/>
    </w:rPr>
  </w:style>
  <w:style w:type="paragraph" w:styleId="BalloonText">
    <w:name w:val="Balloon Text"/>
    <w:basedOn w:val="Normal"/>
    <w:uiPriority w:val="34"/>
    <w:semiHidden/>
    <w:unhideWhenUsed/>
    <w:qFormat/>
    <w:pPr>
      <w:spacing w:after="0"/>
    </w:pPr>
    <w:rPr>
      <w:rFonts w:eastAsiaTheme="minorHAnsi" w:cstheme="minorBidi"/>
      <w:sz w:val="22"/>
      <w:szCs w:val="22"/>
    </w:rPr>
  </w:style>
  <w:style w:type="paragraph" w:styleId="Footer">
    <w:name w:val="footer"/>
    <w:basedOn w:val="Header"/>
    <w:semiHidden/>
    <w:qFormat/>
    <w:pPr>
      <w:jc w:val="center"/>
    </w:pPr>
    <w:rPr>
      <w:i/>
    </w:rPr>
  </w:style>
  <w:style w:type="paragraph" w:styleId="Header">
    <w:name w:val="header"/>
    <w:basedOn w:val="Normal"/>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semiHidden/>
    <w:qFormat/>
    <w:pPr>
      <w:ind w:left="1418" w:hanging="1418"/>
    </w:p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basedOn w:val="Normal"/>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38F1D3-9A59-4C82-8E1B-1C36B148C974}">
  <ds:schemaRefs>
    <ds:schemaRef ds:uri="http://schemas.openxmlformats.org/officeDocument/2006/bibliography"/>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FA393-9491-4FEA-8E5F-1DCE22908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16901</Words>
  <Characters>96336</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NOVLAN, THOMAS D</cp:lastModifiedBy>
  <cp:revision>3</cp:revision>
  <dcterms:created xsi:type="dcterms:W3CDTF">2021-08-23T20:01:00Z</dcterms:created>
  <dcterms:modified xsi:type="dcterms:W3CDTF">2021-08-23T20:24:00Z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