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w:t>
      </w:r>
      <w:r>
        <w:rPr>
          <w:highlight w:val="cyan"/>
          <w:lang w:eastAsia="zh-CN"/>
        </w:rPr>
        <w:t xml:space="preserve">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ListParagraph"/>
        <w:numPr>
          <w:ilvl w:val="0"/>
          <w:numId w:val="18"/>
        </w:numPr>
        <w:spacing w:before="120" w:after="180"/>
      </w:pPr>
      <w:r>
        <w:t xml:space="preserve">Specification of enhancements to the resource multiplexing between child and </w:t>
      </w:r>
      <w:r>
        <w:t>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w:t>
      </w:r>
      <w:r>
        <w:t>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(R1-2106454,R1-2107665)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w:t>
            </w:r>
            <w:r>
              <w:rPr>
                <w:i/>
                <w:lang w:eastAsia="zh-CN"/>
              </w:rPr>
              <w:t xml:space="preserv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w:t>
            </w:r>
            <w:r>
              <w:rPr>
                <w:i/>
                <w:lang w:eastAsia="zh-CN"/>
              </w:rPr>
              <w:t>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w:t>
            </w:r>
            <w:r>
              <w:rPr>
                <w:i/>
                <w:lang w:eastAsia="zh-CN"/>
              </w:rPr>
              <w:t>/configured.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w:t>
            </w:r>
            <w:r>
              <w:rPr>
                <w:i/>
                <w:lang w:eastAsia="zh-CN"/>
              </w:rPr>
              <w:t>ed in Rel-17</w:t>
            </w:r>
          </w:p>
          <w:p w14:paraId="33D624F4"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w:t>
            </w:r>
            <w:r>
              <w:rPr>
                <w:i/>
                <w:lang w:eastAsia="zh-CN"/>
              </w:rPr>
              <w:t>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w:t>
            </w:r>
            <w:r>
              <w:rPr>
                <w:i/>
              </w:rPr>
              <w:t>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w:t>
            </w:r>
            <w:r>
              <w:rPr>
                <w:rFonts w:eastAsiaTheme="minorEastAsia"/>
                <w:i/>
                <w:lang w:eastAsia="zh-CN"/>
              </w:rPr>
              <w:t>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w:t>
            </w:r>
            <w:r>
              <w:rPr>
                <w:i/>
                <w:lang w:eastAsia="zh-CN"/>
              </w:rPr>
              <w:t>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w:t>
            </w:r>
            <w:r>
              <w:rPr>
                <w:rFonts w:eastAsiaTheme="minorEastAsia"/>
              </w:rPr>
              <w:t xml:space="preserve">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w:t>
            </w:r>
            <w:r>
              <w:rPr>
                <w:rFonts w:cs="Times"/>
                <w:b/>
                <w:szCs w:val="20"/>
                <w:lang w:val="en-GB" w:eastAsia="zh-CN"/>
              </w:rPr>
              <w:t xml:space="preserve">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w:t>
            </w:r>
            <w:r>
              <w:rPr>
                <w:rFonts w:eastAsiaTheme="minorEastAsia"/>
                <w:b/>
                <w:lang w:eastAsia="zh-CN"/>
              </w:rPr>
              <w:t>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t xml:space="preserve">Proposal 7: Support separate indication of time and frequency resources availability in DCI format 2_5, where </w:t>
            </w:r>
            <w:r>
              <w:rPr>
                <w:rFonts w:eastAsia="Calibri"/>
                <w:bCs w:val="0"/>
              </w:rPr>
              <w:t>d</w:t>
            </w:r>
            <w:r>
              <w:rPr>
                <w:rFonts w:eastAsia="Calibri"/>
                <w:bCs w:val="0"/>
              </w:rPr>
              <w:t>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Proposal 9: Regarding applicability o</w:t>
            </w:r>
            <w:r>
              <w:rPr>
                <w:rFonts w:eastAsiaTheme="minorEastAsia"/>
              </w:rPr>
              <w:t xml:space="preserve">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w:t>
            </w:r>
            <w:r>
              <w:rPr>
                <w:rFonts w:eastAsiaTheme="minorEastAsia"/>
              </w:rPr>
              <w:t>aling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 xml:space="preserve">Proposal 11: Clarify the applicability of the beam restriction indications from different parent nodes in </w:t>
            </w:r>
            <w:r>
              <w:rPr>
                <w:rFonts w:eastAsiaTheme="minorEastAsia"/>
                <w:b/>
                <w:lang w:eastAsia="zh-CN"/>
              </w:rPr>
              <w:t>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w:t>
            </w:r>
            <w:r>
              <w:rPr>
                <w:rFonts w:eastAsiaTheme="minorEastAsia"/>
              </w:rPr>
              <w:t xml:space="preserve">e and Case 6 timing </w:t>
            </w:r>
            <w:proofErr w:type="gramStart"/>
            <w:r>
              <w:rPr>
                <w:rFonts w:eastAsiaTheme="minorEastAsia"/>
              </w:rPr>
              <w:t>mode;</w:t>
            </w:r>
            <w:proofErr w:type="gramEnd"/>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w:t>
            </w:r>
            <w:r>
              <w:rPr>
                <w:b/>
                <w:i/>
                <w:iCs/>
                <w:color w:val="000000"/>
              </w:rPr>
              <w:t xml:space="preserve">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w:t>
            </w:r>
            <w:r>
              <w:rPr>
                <w:b/>
                <w:bCs/>
                <w:i/>
                <w:iCs/>
              </w:rPr>
              <w:t>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 xml:space="preserve">DCI </w:t>
            </w:r>
            <w:r>
              <w:rPr>
                <w:b/>
                <w:bCs/>
                <w:i/>
                <w:iCs/>
                <w:lang w:eastAsia="zh-CN"/>
              </w:rPr>
              <w:t>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 xml:space="preserve">Proposal 2.6: Identify at least one </w:t>
            </w:r>
            <w:r>
              <w:rPr>
                <w:rFonts w:cs="Times"/>
                <w:b/>
                <w:bCs/>
                <w:i/>
                <w:iCs/>
              </w:rPr>
              <w:t>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 xml:space="preserve">Proposal 2.7: Support semi-static </w:t>
            </w:r>
            <w:r>
              <w:rPr>
                <w:rFonts w:eastAsia="Batang"/>
                <w:b/>
                <w:bCs/>
                <w:i/>
                <w:iCs/>
              </w:rPr>
              <w:t>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Proposal 2.8: To report changes on active beams used for IAB-MT reception or IAB-MT transmission, introduce new dynamic signaling (MAC-CE) such that the IAB-MT can report the pref</w:t>
            </w:r>
            <w:r>
              <w:rPr>
                <w:rFonts w:eastAsia="Batang"/>
                <w:b/>
                <w:bCs/>
                <w:i/>
                <w:iCs/>
              </w:rPr>
              <w:t xml:space="preserve">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w:t>
            </w:r>
            <w:r>
              <w:rPr>
                <w:b/>
                <w:bCs/>
                <w:i/>
                <w:iCs/>
              </w:rPr>
              <w:t xml:space="preserv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Proposal 2.10: For FDM/SDM operation, Rel-16 defined MAC-CE on desired Guard symbols shall be reused</w:t>
            </w:r>
            <w:r>
              <w:rPr>
                <w:b/>
                <w:bCs/>
                <w:i/>
                <w:iCs/>
              </w:rPr>
              <w:t xml:space="preserve">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w:t>
            </w:r>
            <w:r>
              <w:rPr>
                <w:rFonts w:eastAsia="Calibri"/>
                <w:b/>
                <w:bCs/>
                <w:i/>
                <w:iCs/>
              </w:rPr>
              <w:t>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lastRenderedPageBreak/>
              <w:t>Samsung (R1-210</w:t>
            </w:r>
            <w:r>
              <w:t>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w:t>
            </w:r>
            <w:r>
              <w:rPr>
                <w:i/>
              </w:rPr>
              <w:t xml:space="preserve">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w:t>
            </w:r>
            <w:r>
              <w:rPr>
                <w:lang w:val="en-GB"/>
              </w:rPr>
              <w:t xml:space="preserve">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w:t>
            </w:r>
            <w:r>
              <w:rPr>
                <w:lang w:val="en-GB"/>
              </w:rPr>
              <w:t>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 xml:space="preserve">Extend DCI 2-5 to cover frequency-domain availability indication by replacing a unit of slots by a unit of N PRBs or N </w:t>
            </w:r>
            <w:r>
              <w:rPr>
                <w:lang w:val="en-GB"/>
              </w:rPr>
              <w:t>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w:t>
            </w:r>
            <w:r>
              <w:t>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 xml:space="preserve">Support signaling IAB node </w:t>
            </w:r>
            <w:r>
              <w:t>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w:t>
            </w:r>
            <w:r>
              <w:rPr>
                <w:lang w:val="en-GB"/>
              </w:rPr>
              <w:t>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 xml:space="preserve">For frequency domain multiplexing, Alt1 can be viewed as a special case of Alt2, where switching between </w:t>
            </w:r>
            <w:r>
              <w:rPr>
                <w:b/>
                <w:bCs/>
              </w:rPr>
              <w:t>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 xml:space="preserve">To help with down-selection for frequency domain multiplexing, clarify whether the frequency domain configuration in Alt1 and Alt2 refers to a configuration </w:t>
            </w:r>
            <w:r>
              <w:rPr>
                <w:b/>
                <w:bCs/>
              </w:rPr>
              <w:t>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 xml:space="preserve">If an RB set overlaps with any of SSB, Type0-PDCCH, periodic CSI-RS, PRACH, or SR at a </w:t>
            </w:r>
            <w:r>
              <w:rPr>
                <w:b/>
                <w:bCs/>
              </w:rPr>
              <w:t>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1D9C1A52"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w:t>
            </w:r>
            <w:r>
              <w:rPr>
                <w:b/>
                <w:bCs/>
                <w:i/>
                <w:iCs/>
              </w:rPr>
              <w:t>/NA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r>
              <w:rPr>
                <w:b/>
                <w:bCs/>
                <w:u w:val="single"/>
                <w:lang w:eastAsia="zh-CN"/>
              </w:rPr>
              <w:t>:</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w:t>
            </w:r>
            <w:r>
              <w:rPr>
                <w:b/>
                <w:bCs/>
              </w:rPr>
              <w:t xml:space="preserve">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rPr>
                <w:b/>
                <w:bCs/>
              </w:rPr>
            </w:pPr>
            <w:proofErr w:type="gramStart"/>
            <w:r>
              <w:rPr>
                <w:b/>
                <w:bCs/>
              </w:rPr>
              <w:t>E.g.</w:t>
            </w:r>
            <w:proofErr w:type="gramEnd"/>
            <w:r>
              <w:rPr>
                <w:b/>
                <w:bCs/>
              </w:rPr>
              <w:t xml:space="preserve"> replacing “soft DL/UL/Flexible sym</w:t>
            </w:r>
            <w:r>
              <w:rPr>
                <w:b/>
                <w:bCs/>
              </w:rPr>
              <w:t>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w:t>
            </w:r>
            <w:r>
              <w:rPr>
                <w:b/>
                <w:bCs/>
                <w:u w:val="single"/>
              </w:rPr>
              <w:t>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 xml:space="preserve">Required number of </w:t>
            </w:r>
            <w:r>
              <w:rPr>
                <w:b/>
                <w:bCs/>
              </w:rPr>
              <w:t>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w:t>
            </w:r>
            <w:r>
              <w:rPr>
                <w:b/>
                <w:bCs/>
              </w:rPr>
              <w:t>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w:t>
            </w:r>
            <w:r>
              <w:rPr>
                <w:b/>
              </w:rPr>
              <w:t xml:space="preserve">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 xml:space="preserve">Required </w:t>
            </w:r>
            <w:r>
              <w:rPr>
                <w:b/>
              </w:rPr>
              <w:t>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w:t>
            </w:r>
            <w:r>
              <w:rPr>
                <w:b/>
              </w:rPr>
              <w: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rPr>
                <w:b/>
              </w:rPr>
            </w:pPr>
            <w:r>
              <w:rPr>
                <w:b/>
              </w:rPr>
              <w:t>Opt.1: Extend of the mapping betw</w:t>
            </w:r>
            <w:r>
              <w:rPr>
                <w:b/>
              </w:rPr>
              <w:t xml:space="preserve">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pPr>
            <w:r>
              <w:rPr>
                <w:b/>
              </w:rPr>
              <w:t>Opt.2: Introduce a new RNTI</w:t>
            </w:r>
            <w:r>
              <w:rPr>
                <w:b/>
              </w:rPr>
              <w:t xml:space="preserve">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 xml:space="preserve">roposal 4: Support Alt. 2 (the Rel-16 H/S/NA configuration and frequency domain </w:t>
            </w:r>
            <w:r>
              <w:rPr>
                <w:b/>
              </w:rPr>
              <w:t xml:space="preserve">configuration </w:t>
            </w:r>
            <w:proofErr w:type="gramStart"/>
            <w:r>
              <w:rPr>
                <w:b/>
              </w:rPr>
              <w:t>are</w:t>
            </w:r>
            <w:proofErr w:type="gramEnd"/>
            <w:r>
              <w:rPr>
                <w:b/>
              </w:rPr>
              <w:t xml:space="preserv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w:t>
            </w:r>
            <w:r>
              <w:rPr>
                <w:b/>
              </w:rPr>
              <w:t>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 xml:space="preserve">ption 3: RS ID </w:t>
            </w:r>
            <w:r>
              <w:rPr>
                <w:b/>
                <w:lang w:val="en-US"/>
              </w:rPr>
              <w:t>(including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w:t>
            </w:r>
            <w:r>
              <w:rPr>
                <w:b/>
              </w:rPr>
              <w: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w:t>
            </w:r>
            <w:r>
              <w:rPr>
                <w:b/>
              </w:rPr>
              <w:t>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w:t>
            </w:r>
            <w:r>
              <w:rPr>
                <w:b/>
                <w:i/>
                <w:lang w:eastAsia="ko-KR"/>
              </w:rPr>
              <w:t>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w:t>
            </w:r>
            <w:r>
              <w:rPr>
                <w:rFonts w:eastAsia="Batang"/>
                <w:b/>
                <w:i/>
                <w:szCs w:val="22"/>
                <w:lang w:eastAsia="ko-KR"/>
              </w:rPr>
              <w:t>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w:t>
            </w:r>
            <w:r>
              <w:rPr>
                <w:rFonts w:eastAsia="Batang"/>
                <w:b/>
                <w:i/>
                <w:szCs w:val="22"/>
                <w:lang w:eastAsia="ko-KR"/>
              </w:rPr>
              <w:t>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 xml:space="preserve">Proposal 9: The same candidate values are used for the </w:t>
            </w:r>
            <w:r>
              <w:rPr>
                <w:rFonts w:eastAsia="Batang"/>
                <w:b/>
                <w:i/>
                <w:szCs w:val="22"/>
                <w:lang w:eastAsia="ko-KR"/>
              </w:rPr>
              <w:t>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w:t>
            </w:r>
            <w:r>
              <w:rPr>
                <w:b/>
                <w:i/>
                <w:lang w:eastAsia="ko-KR"/>
              </w:rPr>
              <w:t>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 xml:space="preserve">Proposal 13: Support that child node reports information on beam pair(s) capable of </w:t>
            </w:r>
            <w:r>
              <w:rPr>
                <w:b/>
                <w:i/>
                <w:lang w:eastAsia="ko-KR"/>
              </w:rPr>
              <w:t>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Either the Rel-16 H/S/NA configuration or frequency domain configuration i</w:t>
            </w:r>
            <w:r>
              <w:rPr>
                <w:lang w:eastAsia="zh-CN"/>
              </w:rPr>
              <w:t xml:space="preserve">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 xml:space="preserve">For frequency-domain soft resource availability indication, enhancements of DCI format 2_5 are based on the following </w:t>
            </w:r>
            <w:r>
              <w:rPr>
                <w:lang w:eastAsia="zh-CN"/>
              </w:rPr>
              <w:t>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Add reference SCSs for soft resource availability ind</w:t>
            </w:r>
            <w:r>
              <w:rPr>
                <w:bCs/>
                <w:iCs/>
                <w:lang w:eastAsia="zh-CN"/>
              </w:rPr>
              <w:t xml:space="preserve">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r>
                    <w:rPr>
                      <w:rFonts w:ascii="Cambria Math" w:hAnsi="Cambria Math" w:cs="Times New Roman"/>
                      <w:sz w:val="20"/>
                      <w:szCs w:val="20"/>
                    </w:rPr>
                    <m:t>,</m:t>
                  </m:r>
                  <m:r>
                    <w:rPr>
                      <w:rFonts w:ascii="Cambria Math" w:hAnsi="Cambria Math" w:cs="Times New Roman"/>
                      <w:sz w:val="20"/>
                      <w:szCs w:val="20"/>
                    </w:rPr>
                    <m:t>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r>
                    <w:rPr>
                      <w:rFonts w:ascii="Cambria Math" w:hAnsi="Cambria Math" w:cs="Times New Roman"/>
                      <w:sz w:val="20"/>
                      <w:szCs w:val="20"/>
                    </w:rPr>
                    <m:t>,</m:t>
                  </m:r>
                  <m:r>
                    <w:rPr>
                      <w:rFonts w:ascii="Cambria Math" w:hAnsi="Cambria Math" w:cs="Times New Roman"/>
                      <w:sz w:val="20"/>
                      <w:szCs w:val="20"/>
                    </w:rPr>
                    <m:t>D</m:t>
                  </m:r>
                  <m:r>
                    <w:rPr>
                      <w:rFonts w:ascii="Cambria Math" w:hAnsi="Cambria Math" w:cs="Times New Roman"/>
                      <w:sz w:val="20"/>
                      <w:szCs w:val="20"/>
                    </w:rPr>
                    <m:t>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r>
                    <w:rPr>
                      <w:rFonts w:ascii="Cambria Math" w:hAnsi="Cambria Math" w:cs="Times New Roman"/>
                      <w:sz w:val="20"/>
                      <w:szCs w:val="20"/>
                    </w:rPr>
                    <m:t>,</m:t>
                  </m:r>
                  <m:r>
                    <w:rPr>
                      <w:rFonts w:ascii="Cambria Math" w:hAnsi="Cambria Math" w:cs="Times New Roman"/>
                      <w:sz w:val="20"/>
                      <w:szCs w:val="20"/>
                    </w:rPr>
                    <m:t>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m:t>
                  </m:r>
                  <m:r>
                    <w:rPr>
                      <w:rFonts w:ascii="Cambria Math" w:hAnsi="Cambria Math"/>
                    </w:rPr>
                    <m:t>,</m:t>
                  </m:r>
                  <m:r>
                    <w:rPr>
                      <w:rFonts w:ascii="Cambria Math" w:hAnsi="Cambria Math"/>
                    </w:rPr>
                    <m:t>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m:t>
                  </m:r>
                  <m:r>
                    <w:rPr>
                      <w:rFonts w:ascii="Cambria Math" w:hAnsi="Cambria Math"/>
                    </w:rPr>
                    <m:t>,</m:t>
                  </m:r>
                  <m:r>
                    <w:rPr>
                      <w:rFonts w:ascii="Cambria Math" w:hAnsi="Cambria Math"/>
                    </w:rPr>
                    <m:t>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m:t>
                      </m:r>
                      <m:r>
                        <w:rPr>
                          <w:rFonts w:ascii="Cambria Math" w:hAnsi="Cambria Math" w:cs="Times New Roman"/>
                        </w:rPr>
                        <m:t>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values are applicable to the reference UL BWP.</w:t>
            </w:r>
            <w:r>
              <w:rPr>
                <w:rFonts w:ascii="Times New Roman" w:cs="Times New Roman"/>
                <w:lang w:eastAsia="zh-CN"/>
              </w:rPr>
              <w:t xml:space="preserve">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w:t>
            </w:r>
            <w:r>
              <w:rPr>
                <w:rFonts w:ascii="Calibri" w:hAnsi="Calibri"/>
                <w:b/>
                <w:bCs/>
                <w:color w:val="000000"/>
                <w:kern w:val="24"/>
              </w:rPr>
              <w:t>ing capability via enhancements to MAC-based signaling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w:t>
            </w:r>
            <w:r>
              <w:rPr>
                <w:rFonts w:ascii="Calibri" w:hAnsi="Calibri"/>
                <w:b/>
                <w:bCs/>
                <w:color w:val="000000"/>
                <w:kern w:val="24"/>
              </w:rPr>
              <w:t xml:space="preserve">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w:t>
            </w:r>
            <w:r>
              <w:rPr>
                <w:rFonts w:ascii="Calibri" w:hAnsi="Calibri"/>
                <w:b/>
                <w:bCs/>
                <w:color w:val="000000"/>
                <w:kern w:val="24"/>
              </w:rPr>
              <w:t xml:space="preserve">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 xml:space="preserve">Proposal 4: The parent node can dynamically indicate to the child node a set of restricted beams at the IAB-DU of the child node which are associated with a given set of H/S/NA resource(s) and multiplexing </w:t>
            </w:r>
            <w:r>
              <w:rPr>
                <w:rFonts w:ascii="Calibri" w:hAnsi="Calibri"/>
                <w:b/>
                <w:bCs/>
                <w:color w:val="000000"/>
                <w:kern w:val="24"/>
              </w:rPr>
              <w:t>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w:t>
            </w:r>
            <w:r>
              <w:rPr>
                <w:rFonts w:ascii="Calibri" w:hAnsi="Calibri"/>
                <w:b/>
                <w:bCs/>
                <w:color w:val="000000"/>
                <w:kern w:val="24"/>
              </w:rPr>
              <w:t>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w:t>
            </w:r>
            <w:r>
              <w:rPr>
                <w:sz w:val="20"/>
                <w:szCs w:val="20"/>
              </w:rPr>
              <w:t xml:space="preserve">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w:t>
            </w:r>
            <w:r>
              <w:rPr>
                <w:sz w:val="20"/>
                <w:szCs w:val="20"/>
              </w:rPr>
              <w:t xml:space="preserve">case of parent IAB-DU indicating IAB node about the receiving beams/panels for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line="240" w:lineRule="auto"/>
            </w:pPr>
            <w:r>
              <w:t xml:space="preserve">Dynamic </w:t>
            </w:r>
            <w:proofErr w:type="gramStart"/>
            <w:r>
              <w:t>e.g.</w:t>
            </w:r>
            <w:proofErr w:type="gramEnd"/>
            <w:r>
              <w:t xml:space="preserve"> through TCI index in DCI for scheduling PDSCH </w:t>
            </w:r>
            <w:proofErr w:type="spellStart"/>
            <w:r>
              <w:t>L</w:t>
            </w:r>
            <w:r>
              <w:rPr>
                <w:vertAlign w:val="subscript"/>
              </w:rPr>
              <w:t>p,DL</w:t>
            </w:r>
            <w:proofErr w:type="spellEnd"/>
            <w:r>
              <w:rPr>
                <w:vertAlign w:val="subscript"/>
              </w:rPr>
              <w:t xml:space="preserve"> </w:t>
            </w:r>
            <w:r>
              <w:t xml:space="preserve"> </w:t>
            </w:r>
          </w:p>
          <w:p w14:paraId="044E967D" w14:textId="77777777" w:rsidR="001B0E4C" w:rsidRDefault="002A2A33">
            <w:pPr>
              <w:pStyle w:val="ListParagraph"/>
              <w:numPr>
                <w:ilvl w:val="0"/>
                <w:numId w:val="33"/>
              </w:numPr>
              <w:spacing w:before="0" w:after="0" w:line="240" w:lineRule="auto"/>
            </w:pPr>
            <w:r>
              <w:t xml:space="preserve">Semi-static, </w:t>
            </w:r>
            <w:proofErr w:type="gramStart"/>
            <w:r>
              <w:t>e.g.</w:t>
            </w:r>
            <w:proofErr w:type="gramEnd"/>
            <w:r>
              <w:t xml:space="preserve"> through MAC</w:t>
            </w:r>
            <w:r>
              <w:t xml:space="preserve">-CE/RRC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line="240" w:lineRule="auto"/>
            </w:pPr>
            <w:r>
              <w:t xml:space="preserve">Dynamic </w:t>
            </w:r>
            <w:proofErr w:type="gramStart"/>
            <w:r>
              <w:t>e.g.</w:t>
            </w:r>
            <w:proofErr w:type="gramEnd"/>
            <w:r>
              <w:t xml:space="preserve"> through UCI transmission from IAB-MT to parent DU </w:t>
            </w:r>
          </w:p>
          <w:p w14:paraId="2136508E" w14:textId="77777777" w:rsidR="001B0E4C" w:rsidRDefault="002A2A33">
            <w:pPr>
              <w:pStyle w:val="ListParagraph"/>
              <w:numPr>
                <w:ilvl w:val="0"/>
                <w:numId w:val="34"/>
              </w:numPr>
              <w:spacing w:before="0" w:after="0" w:line="240" w:lineRule="auto"/>
            </w:pPr>
            <w:r>
              <w:t xml:space="preserve">Semi-static, </w:t>
            </w:r>
            <w:proofErr w:type="gramStart"/>
            <w:r>
              <w:t>e.g.</w:t>
            </w:r>
            <w:proofErr w:type="gramEnd"/>
            <w:r>
              <w:t xml:space="preserve"> through MAC-CE from IAB-MT or through F1 interface from IAB-DU</w:t>
            </w:r>
          </w:p>
          <w:p w14:paraId="3BBD1A46" w14:textId="77777777" w:rsidR="001B0E4C" w:rsidRDefault="002A2A33">
            <w:pPr>
              <w:pStyle w:val="ListParagraph"/>
              <w:numPr>
                <w:ilvl w:val="0"/>
                <w:numId w:val="34"/>
              </w:numPr>
              <w:spacing w:before="0" w:after="0" w:line="240" w:lineRule="auto"/>
            </w:pPr>
            <w:r>
              <w:t xml:space="preserve">Alternatively, IAB-MT performs SR or initiates PRACH to indicate desired receiving beam on </w:t>
            </w:r>
            <w:proofErr w:type="spellStart"/>
            <w:r>
              <w:t>L</w:t>
            </w:r>
            <w:r>
              <w:rPr>
                <w:vertAlign w:val="subscript"/>
              </w:rPr>
              <w:t>p,DL</w:t>
            </w:r>
            <w:proofErr w:type="spell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w:t>
            </w:r>
            <w:r>
              <w:rPr>
                <w:sz w:val="20"/>
                <w:szCs w:val="20"/>
              </w:rPr>
              <w:t xml:space="preserve">o achieve a simultaneous reception within an IAB node, </w:t>
            </w:r>
            <w:proofErr w:type="gramStart"/>
            <w:r>
              <w:rPr>
                <w:sz w:val="20"/>
                <w:szCs w:val="20"/>
              </w:rPr>
              <w:t>i.e.</w:t>
            </w:r>
            <w:proofErr w:type="gramEnd"/>
            <w:r>
              <w:rPr>
                <w:sz w:val="20"/>
                <w:szCs w:val="20"/>
              </w:rPr>
              <w:t xml:space="preserve"> DU-Rx &amp; MT-Rx, a two-step indication is deployed</w:t>
            </w:r>
          </w:p>
          <w:p w14:paraId="2D368C13" w14:textId="77777777" w:rsidR="001B0E4C" w:rsidRDefault="002A2A33">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w:t>
            </w:r>
            <w:r>
              <w:t xml:space="preserve"> like beam/panel, K</w:t>
            </w:r>
            <w:r>
              <w:rPr>
                <w:vertAlign w:val="subscript"/>
              </w:rPr>
              <w:t>0</w:t>
            </w:r>
            <w:r>
              <w:t xml:space="preserve">, SLIV, </w:t>
            </w:r>
            <w:proofErr w:type="spellStart"/>
            <w:r>
              <w:t>etc</w:t>
            </w:r>
            <w:proofErr w:type="spellEnd"/>
          </w:p>
          <w:p w14:paraId="20A88EAB" w14:textId="77777777" w:rsidR="001B0E4C" w:rsidRDefault="002A2A33">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w:t>
            </w:r>
            <w:r>
              <w:rPr>
                <w:sz w:val="20"/>
                <w:szCs w:val="20"/>
              </w:rPr>
              <w:t xml:space="preserve">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2A2A33">
            <w:pPr>
              <w:pStyle w:val="TOC1"/>
              <w:tabs>
                <w:tab w:val="left" w:pos="1470"/>
              </w:tabs>
              <w:spacing w:after="120"/>
              <w:rPr>
                <w:rFonts w:asciiTheme="minorHAnsi" w:hAnsiTheme="minorHAnsi" w:cstheme="minorBidi"/>
                <w:b w:val="0"/>
                <w:bCs/>
                <w:i/>
                <w:iCs/>
                <w:sz w:val="21"/>
              </w:rPr>
            </w:pPr>
            <w:hyperlink w:anchor="_Toc79164567" w:history="1">
              <w:r>
                <w:rPr>
                  <w:rStyle w:val="Hyperlink"/>
                  <w:rFonts w:eastAsia="SimSun"/>
                </w:rPr>
                <w:t>Observation 2:</w:t>
              </w:r>
              <w:r>
                <w:rPr>
                  <w:rFonts w:asciiTheme="minorHAnsi" w:hAnsiTheme="minorHAnsi" w:cstheme="minorBidi"/>
                  <w:b w:val="0"/>
                  <w:sz w:val="21"/>
                </w:rPr>
                <w:tab/>
              </w:r>
              <w:r>
                <w:rPr>
                  <w:rStyle w:val="Hyperlink"/>
                </w:rPr>
                <w:t>Semi-static H/S/NA configuration is not applicable for SDM due to time</w:t>
              </w:r>
              <w:r>
                <w:rPr>
                  <w:rStyle w:val="Hyperlink"/>
                </w:rPr>
                <w:t>-variant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2A2A33">
            <w:pPr>
              <w:pStyle w:val="TOC1"/>
              <w:tabs>
                <w:tab w:val="left" w:pos="862"/>
              </w:tabs>
              <w:spacing w:after="120"/>
              <w:rPr>
                <w:rFonts w:asciiTheme="minorHAnsi" w:hAnsiTheme="minorHAnsi" w:cstheme="minorBidi"/>
                <w:b w:val="0"/>
                <w:bCs/>
                <w:i/>
                <w:iCs/>
                <w:sz w:val="21"/>
              </w:rPr>
            </w:pPr>
            <w:hyperlink w:anchor="_Toc79164570" w:history="1">
              <w:r>
                <w:rPr>
                  <w:rStyle w:val="Hyperlink"/>
                  <w:rFonts w:eastAsia="SimSun" w:cs="Arial"/>
                </w:rPr>
                <w:t>•</w:t>
              </w:r>
              <w:r>
                <w:rPr>
                  <w:rFonts w:asciiTheme="minorHAnsi" w:hAnsiTheme="minorHAnsi" w:cstheme="minorBidi"/>
                  <w:b w:val="0"/>
                  <w:sz w:val="21"/>
                </w:rPr>
                <w:tab/>
              </w:r>
              <w:r>
                <w:rPr>
                  <w:rStyle w:val="Hyperlink"/>
                  <w:rFonts w:cs="Times"/>
                </w:rPr>
                <w:t>Candidate values for N can be 1, 4, 8, 16.</w:t>
              </w:r>
            </w:hyperlink>
          </w:p>
          <w:p w14:paraId="48C21D7F" w14:textId="77777777" w:rsidR="001B0E4C" w:rsidRDefault="002A2A33">
            <w:pPr>
              <w:pStyle w:val="TOC1"/>
              <w:tabs>
                <w:tab w:val="left" w:pos="862"/>
              </w:tabs>
              <w:spacing w:after="120"/>
              <w:rPr>
                <w:rFonts w:asciiTheme="minorHAnsi" w:hAnsiTheme="minorHAnsi" w:cstheme="minorBidi"/>
                <w:b w:val="0"/>
                <w:bCs/>
                <w:i/>
                <w:iCs/>
                <w:sz w:val="21"/>
              </w:rPr>
            </w:pPr>
            <w:hyperlink w:anchor="_Toc79164571" w:history="1">
              <w:r>
                <w:rPr>
                  <w:rStyle w:val="Hyperlink"/>
                  <w:rFonts w:eastAsia="SimSun" w:cs="Arial"/>
                </w:rPr>
                <w:t>•</w:t>
              </w:r>
              <w:r>
                <w:rPr>
                  <w:rFonts w:asciiTheme="minorHAnsi" w:hAnsiTheme="minorHAnsi" w:cstheme="minorBidi"/>
                  <w:b w:val="0"/>
                  <w:sz w:val="21"/>
                </w:rPr>
                <w:tab/>
              </w:r>
              <w:r>
                <w:rPr>
                  <w:rStyle w:val="Hyperlink"/>
                  <w:rFonts w:cs="Times"/>
                </w:rPr>
                <w:t>It is up to CU implementation how to set the actual value of N.</w:t>
              </w:r>
            </w:hyperlink>
          </w:p>
          <w:p w14:paraId="59F259D1" w14:textId="77777777" w:rsidR="001B0E4C" w:rsidRDefault="002A2A33">
            <w:pPr>
              <w:pStyle w:val="TOC1"/>
              <w:tabs>
                <w:tab w:val="left" w:pos="1282"/>
              </w:tabs>
              <w:spacing w:after="120"/>
              <w:rPr>
                <w:rFonts w:asciiTheme="minorHAnsi" w:hAnsiTheme="minorHAnsi" w:cstheme="minorBidi"/>
                <w:b w:val="0"/>
                <w:bCs/>
                <w:i/>
                <w:iCs/>
                <w:sz w:val="21"/>
              </w:rPr>
            </w:pPr>
            <w:hyperlink w:anchor="_Toc79164572" w:history="1">
              <w:r>
                <w:rPr>
                  <w:rStyle w:val="Hyperlink"/>
                  <w:rFonts w:eastAsia="SimSun"/>
                </w:rPr>
                <w:t>Proposal 2:</w:t>
              </w:r>
              <w:r>
                <w:rPr>
                  <w:rFonts w:asciiTheme="minorHAnsi" w:hAnsiTheme="minorHAnsi" w:cstheme="minorBidi"/>
                  <w:b w:val="0"/>
                  <w:sz w:val="21"/>
                </w:rPr>
                <w:tab/>
              </w:r>
              <w:r>
                <w:rPr>
                  <w:rStyle w:val="Hyperlink"/>
                  <w:rFonts w:cs="Times"/>
                </w:rPr>
                <w:t>Frequency-domain H/S/NA</w:t>
              </w:r>
              <w:r>
                <w:rPr>
                  <w:rStyle w:val="Hyperlink"/>
                </w:rPr>
                <w:t xml:space="preserve"> should be config</w:t>
              </w:r>
              <w:r>
                <w:rPr>
                  <w:rStyle w:val="Hyperlink"/>
                </w:rPr>
                <w:t>ured per RB set within a carrier.</w:t>
              </w:r>
            </w:hyperlink>
          </w:p>
          <w:p w14:paraId="416C881C" w14:textId="77777777" w:rsidR="001B0E4C" w:rsidRDefault="002A2A33">
            <w:pPr>
              <w:pStyle w:val="TOC1"/>
              <w:tabs>
                <w:tab w:val="left" w:pos="862"/>
              </w:tabs>
              <w:spacing w:after="120"/>
              <w:rPr>
                <w:rFonts w:asciiTheme="minorHAnsi" w:hAnsiTheme="minorHAnsi" w:cstheme="minorBidi"/>
                <w:b w:val="0"/>
                <w:bCs/>
                <w:i/>
                <w:iCs/>
                <w:sz w:val="21"/>
              </w:rPr>
            </w:pPr>
            <w:hyperlink w:anchor="_Toc79164573" w:history="1">
              <w:r>
                <w:rPr>
                  <w:rStyle w:val="Hyperlink"/>
                  <w:rFonts w:eastAsia="SimSun" w:cs="Arial"/>
                </w:rPr>
                <w:t>•</w:t>
              </w:r>
              <w:r>
                <w:rPr>
                  <w:rFonts w:asciiTheme="minorHAnsi" w:hAnsiTheme="minorHAnsi" w:cstheme="minorBidi"/>
                  <w:b w:val="0"/>
                  <w:sz w:val="21"/>
                </w:rPr>
                <w:tab/>
              </w:r>
              <w:r>
                <w:rPr>
                  <w:rStyle w:val="Hyperlink"/>
                </w:rPr>
                <w:t>One RB set is configured as a multiple of N RBs.</w:t>
              </w:r>
            </w:hyperlink>
          </w:p>
          <w:p w14:paraId="7BAE6433" w14:textId="77777777" w:rsidR="001B0E4C" w:rsidRDefault="002A2A33">
            <w:pPr>
              <w:pStyle w:val="TOC1"/>
              <w:tabs>
                <w:tab w:val="left" w:pos="862"/>
              </w:tabs>
              <w:spacing w:after="120"/>
              <w:rPr>
                <w:rFonts w:asciiTheme="minorHAnsi" w:hAnsiTheme="minorHAnsi" w:cstheme="minorBidi"/>
                <w:b w:val="0"/>
                <w:bCs/>
                <w:i/>
                <w:iCs/>
                <w:sz w:val="21"/>
              </w:rPr>
            </w:pPr>
            <w:hyperlink w:anchor="_Toc79164574" w:history="1">
              <w:r>
                <w:rPr>
                  <w:rStyle w:val="Hyperlink"/>
                  <w:rFonts w:eastAsia="SimSun" w:cs="Arial"/>
                </w:rPr>
                <w:t>•</w:t>
              </w:r>
              <w:r>
                <w:rPr>
                  <w:rFonts w:asciiTheme="minorHAnsi" w:hAnsiTheme="minorHAnsi" w:cstheme="minorBidi"/>
                  <w:b w:val="0"/>
                  <w:sz w:val="21"/>
                </w:rPr>
                <w:tab/>
              </w:r>
              <w:r>
                <w:rPr>
                  <w:rStyle w:val="Hyperlink"/>
                </w:rPr>
                <w:t>Each RB set is defined based on a reference carrier/SCS, FFS how to determine the reference carrier/SCS o</w:t>
              </w:r>
              <w:r>
                <w:rPr>
                  <w:rStyle w:val="Hyperlink"/>
                </w:rPr>
                <w:t>f a DU cell.</w:t>
              </w:r>
            </w:hyperlink>
          </w:p>
          <w:p w14:paraId="6C46E40C" w14:textId="77777777" w:rsidR="001B0E4C" w:rsidRDefault="002A2A33">
            <w:pPr>
              <w:pStyle w:val="TOC1"/>
              <w:tabs>
                <w:tab w:val="left" w:pos="1282"/>
              </w:tabs>
              <w:spacing w:after="120"/>
              <w:rPr>
                <w:rFonts w:asciiTheme="minorHAnsi" w:hAnsiTheme="minorHAnsi" w:cstheme="minorBidi"/>
                <w:b w:val="0"/>
                <w:bCs/>
                <w:i/>
                <w:iCs/>
                <w:sz w:val="21"/>
              </w:rPr>
            </w:pPr>
            <w:hyperlink w:anchor="_Toc79164575" w:history="1">
              <w:r>
                <w:rPr>
                  <w:rStyle w:val="Hyperlink"/>
                  <w:rFonts w:eastAsia="SimSun"/>
                </w:rPr>
                <w:t>Proposal 3:</w:t>
              </w:r>
              <w:r>
                <w:rPr>
                  <w:rFonts w:asciiTheme="minorHAnsi" w:hAnsiTheme="minorHAnsi" w:cstheme="minorBidi"/>
                  <w:b w:val="0"/>
                  <w:sz w:val="21"/>
                </w:rPr>
                <w:tab/>
              </w:r>
              <w:r>
                <w:rPr>
                  <w:rStyle w:val="Hyperlink"/>
                </w:rPr>
                <w:t xml:space="preserve">For a given resource of an IAB DU cell, IAB node can be configured with either Rel-16 H/S/NA or </w:t>
              </w:r>
              <w:r>
                <w:rPr>
                  <w:rStyle w:val="Hyperlink"/>
                  <w:rFonts w:cs="Times"/>
                </w:rPr>
                <w:t>frequency-domain H/S/NA</w:t>
              </w:r>
              <w:r>
                <w:rPr>
                  <w:rStyle w:val="Hyperlink"/>
                </w:rPr>
                <w:t>.</w:t>
              </w:r>
            </w:hyperlink>
          </w:p>
          <w:p w14:paraId="76A7935F" w14:textId="77777777" w:rsidR="001B0E4C" w:rsidRDefault="002A2A33">
            <w:pPr>
              <w:pStyle w:val="TOC1"/>
              <w:tabs>
                <w:tab w:val="left" w:pos="1282"/>
              </w:tabs>
              <w:spacing w:after="120"/>
              <w:rPr>
                <w:rFonts w:asciiTheme="minorHAnsi" w:hAnsiTheme="minorHAnsi" w:cstheme="minorBidi"/>
                <w:b w:val="0"/>
                <w:bCs/>
                <w:i/>
                <w:iCs/>
                <w:sz w:val="21"/>
              </w:rPr>
            </w:pPr>
            <w:hyperlink w:anchor="_Toc79164576" w:history="1">
              <w:r>
                <w:rPr>
                  <w:rStyle w:val="Hyperlink"/>
                  <w:rFonts w:eastAsia="SimSun"/>
                </w:rPr>
                <w:t>Proposal 4:</w:t>
              </w:r>
              <w:r>
                <w:rPr>
                  <w:rFonts w:asciiTheme="minorHAnsi" w:hAnsiTheme="minorHAnsi" w:cstheme="minorBidi"/>
                  <w:b w:val="0"/>
                  <w:sz w:val="21"/>
                </w:rPr>
                <w:tab/>
              </w:r>
              <w:r>
                <w:rPr>
                  <w:rStyle w:val="Hyperlink"/>
                  <w:rFonts w:cs="Times"/>
                </w:rPr>
                <w:t>Rel-16 DCI Format 2_5 is reused to</w:t>
              </w:r>
              <w:r>
                <w:rPr>
                  <w:rStyle w:val="Hyperlink"/>
                  <w:rFonts w:cs="Times"/>
                </w:rPr>
                <w:t xml:space="preserve"> indicate soft resource availability for TDM and FDM slots:</w:t>
              </w:r>
            </w:hyperlink>
          </w:p>
          <w:p w14:paraId="15CD9CD3" w14:textId="77777777" w:rsidR="001B0E4C" w:rsidRDefault="002A2A33">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Pr>
                  <w:rStyle w:val="Hyperlink"/>
                  <w:rFonts w:cs="Arial"/>
                </w:rPr>
                <w:t>•</w:t>
              </w:r>
              <w:r>
                <w:rPr>
                  <w:rFonts w:asciiTheme="minorHAnsi" w:eastAsiaTheme="minorEastAsia" w:hAnsiTheme="minorHAnsi" w:cstheme="minorBidi"/>
                  <w:sz w:val="21"/>
                  <w:szCs w:val="22"/>
                </w:rPr>
                <w:tab/>
              </w:r>
              <w:r>
                <w:rPr>
                  <w:rStyle w:val="Hyperlink"/>
                  <w:rFonts w:cs="Times"/>
                </w:rPr>
                <w:t xml:space="preserve">For TDM slot, </w:t>
              </w:r>
              <w:r>
                <w:rPr>
                  <w:rStyle w:val="Hyperlink"/>
                </w:rPr>
                <w:t xml:space="preserve">availability indication is valid </w:t>
              </w:r>
              <w:r>
                <w:rPr>
                  <w:rStyle w:val="Hyperlink"/>
                  <w:rFonts w:cs="Times"/>
                </w:rPr>
                <w:t>for all soft symbols in the slot</w:t>
              </w:r>
            </w:hyperlink>
          </w:p>
          <w:p w14:paraId="0C060121" w14:textId="77777777" w:rsidR="001B0E4C" w:rsidRDefault="002A2A33">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Pr>
                  <w:rStyle w:val="Hyperlink"/>
                  <w:rFonts w:cs="Arial"/>
                </w:rPr>
                <w:t>•</w:t>
              </w:r>
              <w:r>
                <w:rPr>
                  <w:rFonts w:asciiTheme="minorHAnsi" w:eastAsiaTheme="minorEastAsia" w:hAnsiTheme="minorHAnsi" w:cstheme="minorBidi"/>
                  <w:sz w:val="21"/>
                  <w:szCs w:val="22"/>
                </w:rPr>
                <w:tab/>
              </w:r>
              <w:r>
                <w:rPr>
                  <w:rStyle w:val="Hyperlink"/>
                  <w:rFonts w:cs="Times"/>
                </w:rPr>
                <w:t xml:space="preserve">For FDM slot, </w:t>
              </w:r>
              <w:r>
                <w:rPr>
                  <w:rStyle w:val="Hyperlink"/>
                </w:rPr>
                <w:t>availability indication</w:t>
              </w:r>
              <w:r>
                <w:rPr>
                  <w:rStyle w:val="Hyperlink"/>
                  <w:rFonts w:cs="Times"/>
                </w:rPr>
                <w:t xml:space="preserve"> is only valid for all soft resource in the slot</w:t>
              </w:r>
              <w:r>
                <w:rPr>
                  <w:rStyle w:val="Hyperlink"/>
                </w:rPr>
                <w:t>.</w:t>
              </w:r>
            </w:hyperlink>
          </w:p>
          <w:p w14:paraId="5D66047C" w14:textId="77777777" w:rsidR="001B0E4C" w:rsidRDefault="002A2A33">
            <w:pPr>
              <w:pStyle w:val="TOC1"/>
              <w:tabs>
                <w:tab w:val="left" w:pos="1282"/>
              </w:tabs>
              <w:spacing w:after="120"/>
              <w:rPr>
                <w:rFonts w:asciiTheme="minorHAnsi" w:hAnsiTheme="minorHAnsi" w:cstheme="minorBidi"/>
                <w:b w:val="0"/>
                <w:bCs/>
                <w:i/>
                <w:iCs/>
                <w:sz w:val="21"/>
              </w:rPr>
            </w:pPr>
            <w:hyperlink w:anchor="_Toc79164579" w:history="1">
              <w:r>
                <w:rPr>
                  <w:rStyle w:val="Hyperlink"/>
                  <w:rFonts w:eastAsia="SimSun"/>
                </w:rPr>
                <w:t>Proposal 5:</w:t>
              </w:r>
              <w:r>
                <w:rPr>
                  <w:rFonts w:asciiTheme="minorHAnsi" w:hAnsiTheme="minorHAnsi" w:cstheme="minorBidi"/>
                  <w:b w:val="0"/>
                  <w:sz w:val="21"/>
                </w:rPr>
                <w:tab/>
              </w:r>
              <w:r>
                <w:rPr>
                  <w:rStyle w:val="Hyperlink"/>
                  <w:rFonts w:cs="Times"/>
                </w:rPr>
                <w:t>Additional enhancements to DCI Format 2_5 are not necessary</w:t>
              </w:r>
              <w:r>
                <w:rPr>
                  <w:rStyle w:val="Hyperlink"/>
                </w:rPr>
                <w:t>.</w:t>
              </w:r>
            </w:hyperlink>
          </w:p>
          <w:p w14:paraId="2DC6FD69" w14:textId="77777777" w:rsidR="001B0E4C" w:rsidRDefault="002A2A33">
            <w:pPr>
              <w:pStyle w:val="TOC1"/>
              <w:tabs>
                <w:tab w:val="left" w:pos="1282"/>
              </w:tabs>
              <w:spacing w:after="120"/>
              <w:rPr>
                <w:rFonts w:asciiTheme="minorHAnsi" w:hAnsiTheme="minorHAnsi" w:cstheme="minorBidi"/>
                <w:b w:val="0"/>
                <w:bCs/>
                <w:i/>
                <w:iCs/>
                <w:sz w:val="21"/>
              </w:rPr>
            </w:pPr>
            <w:hyperlink w:anchor="_Toc79164580" w:history="1">
              <w:r>
                <w:rPr>
                  <w:rStyle w:val="Hyperlink"/>
                  <w:rFonts w:eastAsia="SimSun"/>
                </w:rPr>
                <w:t>Proposal 6:</w:t>
              </w:r>
              <w:r>
                <w:rPr>
                  <w:rFonts w:asciiTheme="minorHAnsi" w:hAnsiTheme="minorHAnsi" w:cstheme="minorBidi"/>
                  <w:b w:val="0"/>
                  <w:sz w:val="21"/>
                </w:rPr>
                <w:tab/>
              </w:r>
              <w:r>
                <w:rPr>
                  <w:rStyle w:val="Hyperlink"/>
                </w:rPr>
                <w:t>It is sufficient to indicate the one of the preferred bea</w:t>
              </w:r>
              <w:r>
                <w:rPr>
                  <w:rStyle w:val="Hyperlink"/>
                </w:rPr>
                <w:t>ms and the not preferred beams for IAB node MT, and it is not necessary to indicate both of them at the same time.</w:t>
              </w:r>
            </w:hyperlink>
          </w:p>
          <w:p w14:paraId="45F4825B" w14:textId="77777777" w:rsidR="001B0E4C" w:rsidRDefault="002A2A33">
            <w:pPr>
              <w:pStyle w:val="TOC1"/>
              <w:tabs>
                <w:tab w:val="left" w:pos="1282"/>
              </w:tabs>
              <w:spacing w:after="120"/>
              <w:rPr>
                <w:rFonts w:asciiTheme="minorHAnsi" w:hAnsiTheme="minorHAnsi" w:cstheme="minorBidi"/>
                <w:b w:val="0"/>
                <w:bCs/>
                <w:i/>
                <w:iCs/>
                <w:sz w:val="21"/>
              </w:rPr>
            </w:pPr>
            <w:hyperlink w:anchor="_Toc79164581" w:history="1">
              <w:r>
                <w:rPr>
                  <w:rStyle w:val="Hyperlink"/>
                  <w:rFonts w:eastAsia="SimSun"/>
                </w:rPr>
                <w:t>Proposal 7:</w:t>
              </w:r>
              <w:r>
                <w:rPr>
                  <w:rFonts w:asciiTheme="minorHAnsi" w:hAnsiTheme="minorHAnsi" w:cstheme="minorBidi"/>
                  <w:b w:val="0"/>
                  <w:sz w:val="21"/>
                </w:rPr>
                <w:tab/>
              </w:r>
              <w:r>
                <w:rPr>
                  <w:rStyle w:val="Hyperlink"/>
                </w:rPr>
                <w:t xml:space="preserve">It is not necessary to limit the applicability of beam indication to specific multiplexing cases </w:t>
              </w:r>
              <w:r>
                <w:rPr>
                  <w:rStyle w:val="Hyperlink"/>
                </w:rPr>
                <w:t>or time-frequency resources.</w:t>
              </w:r>
            </w:hyperlink>
          </w:p>
          <w:p w14:paraId="5039B566" w14:textId="77777777" w:rsidR="001B0E4C" w:rsidRDefault="002A2A33">
            <w:pPr>
              <w:pStyle w:val="TOC1"/>
              <w:tabs>
                <w:tab w:val="left" w:pos="1282"/>
              </w:tabs>
              <w:spacing w:after="120"/>
              <w:rPr>
                <w:rFonts w:asciiTheme="minorHAnsi" w:hAnsiTheme="minorHAnsi" w:cstheme="minorBidi"/>
                <w:b w:val="0"/>
                <w:bCs/>
                <w:i/>
                <w:iCs/>
                <w:sz w:val="21"/>
              </w:rPr>
            </w:pPr>
            <w:hyperlink w:anchor="_Toc79164582" w:history="1">
              <w:r>
                <w:rPr>
                  <w:rStyle w:val="Hyperlink"/>
                  <w:rFonts w:eastAsia="SimSun"/>
                </w:rPr>
                <w:t>Proposal 8:</w:t>
              </w:r>
              <w:r>
                <w:rPr>
                  <w:rFonts w:asciiTheme="minorHAnsi" w:hAnsiTheme="minorHAnsi" w:cstheme="minorBidi"/>
                  <w:b w:val="0"/>
                  <w:sz w:val="21"/>
                </w:rPr>
                <w:tab/>
              </w:r>
              <w:r>
                <w:rPr>
                  <w:rStyle w:val="Hyperlink"/>
                </w:rPr>
                <w:t>H/S/NA configuration per beam (i.e. additional semi-static configuration signaling) is not supported.</w:t>
              </w:r>
            </w:hyperlink>
          </w:p>
          <w:p w14:paraId="50F0E9D0" w14:textId="77777777" w:rsidR="001B0E4C" w:rsidRDefault="002A2A33">
            <w:pPr>
              <w:pStyle w:val="TOC1"/>
              <w:tabs>
                <w:tab w:val="left" w:pos="1282"/>
              </w:tabs>
              <w:spacing w:after="120"/>
              <w:rPr>
                <w:rFonts w:asciiTheme="minorHAnsi" w:hAnsiTheme="minorHAnsi" w:cstheme="minorBidi"/>
                <w:b w:val="0"/>
                <w:bCs/>
                <w:i/>
                <w:iCs/>
                <w:sz w:val="21"/>
              </w:rPr>
            </w:pPr>
            <w:hyperlink w:anchor="_Toc79164583" w:history="1">
              <w:r>
                <w:rPr>
                  <w:rStyle w:val="Hyperlink"/>
                  <w:rFonts w:eastAsia="SimSun"/>
                </w:rPr>
                <w:t>Proposal 9:</w:t>
              </w:r>
              <w:r>
                <w:rPr>
                  <w:rFonts w:asciiTheme="minorHAnsi" w:hAnsiTheme="minorHAnsi" w:cstheme="minorBidi"/>
                  <w:b w:val="0"/>
                  <w:sz w:val="21"/>
                </w:rPr>
                <w:tab/>
              </w:r>
              <w:r>
                <w:rPr>
                  <w:rStyle w:val="Hyperlink"/>
                </w:rPr>
                <w:t>Per-panel granularity for resource ma</w:t>
              </w:r>
              <w:r>
                <w:rPr>
                  <w:rStyle w:val="Hyperlink"/>
                </w:rPr>
                <w:t>nagement in the spatial domain is not supported.</w:t>
              </w:r>
            </w:hyperlink>
          </w:p>
          <w:p w14:paraId="4546AFA6" w14:textId="77777777" w:rsidR="001B0E4C" w:rsidRDefault="002A2A33">
            <w:pPr>
              <w:pStyle w:val="TOC1"/>
              <w:tabs>
                <w:tab w:val="left" w:pos="1282"/>
              </w:tabs>
              <w:spacing w:after="120"/>
              <w:rPr>
                <w:rFonts w:asciiTheme="minorHAnsi" w:hAnsiTheme="minorHAnsi" w:cstheme="minorBidi"/>
                <w:b w:val="0"/>
                <w:bCs/>
                <w:i/>
                <w:iCs/>
                <w:sz w:val="21"/>
              </w:rPr>
            </w:pPr>
            <w:hyperlink w:anchor="_Toc79164584" w:history="1">
              <w:r>
                <w:rPr>
                  <w:rStyle w:val="Hyperlink"/>
                  <w:rFonts w:eastAsia="SimSun"/>
                </w:rPr>
                <w:t>Proposal 10:</w:t>
              </w:r>
              <w:r>
                <w:rPr>
                  <w:rFonts w:asciiTheme="minorHAnsi" w:hAnsiTheme="minorHAnsi" w:cstheme="minorBidi"/>
                  <w:b w:val="0"/>
                  <w:sz w:val="21"/>
                </w:rPr>
                <w:tab/>
              </w:r>
              <w:r>
                <w:rPr>
                  <w:rStyle w:val="Hyperlink"/>
                </w:rPr>
                <w:t xml:space="preserve">Different beam indications (i.e. </w:t>
              </w:r>
              <w:r>
                <w:rPr>
                  <w:rStyle w:val="Hyperlink"/>
                  <w:rFonts w:cs="Times"/>
                </w:rPr>
                <w:t>child IAB-MT beam indication and parent IAB-DU beam indication</w:t>
              </w:r>
              <w:r>
                <w:rPr>
                  <w:rStyle w:val="Hyperlink"/>
                </w:rPr>
                <w:t xml:space="preserve">) are applied to different links, i.e. backhaul link and </w:t>
              </w:r>
              <w:r>
                <w:rPr>
                  <w:rStyle w:val="Hyperlink"/>
                </w:rPr>
                <w:t>access link of an IAB node.</w:t>
              </w:r>
            </w:hyperlink>
          </w:p>
          <w:p w14:paraId="43CD3A09" w14:textId="77777777" w:rsidR="001B0E4C" w:rsidRDefault="002A2A33">
            <w:pPr>
              <w:pStyle w:val="TOC1"/>
              <w:tabs>
                <w:tab w:val="left" w:pos="1282"/>
              </w:tabs>
              <w:spacing w:after="120"/>
              <w:rPr>
                <w:rFonts w:asciiTheme="minorHAnsi" w:hAnsiTheme="minorHAnsi" w:cstheme="minorBidi"/>
                <w:b w:val="0"/>
                <w:bCs/>
                <w:i/>
                <w:iCs/>
                <w:sz w:val="21"/>
              </w:rPr>
            </w:pPr>
            <w:hyperlink w:anchor="_Toc79164585" w:history="1">
              <w:r>
                <w:rPr>
                  <w:rStyle w:val="Hyperlink"/>
                  <w:rFonts w:eastAsia="SimSun"/>
                </w:rPr>
                <w:t>Proposal 11:</w:t>
              </w:r>
              <w:r>
                <w:rPr>
                  <w:rFonts w:asciiTheme="minorHAnsi" w:hAnsiTheme="minorHAnsi" w:cstheme="minorBidi"/>
                  <w:b w:val="0"/>
                  <w:sz w:val="21"/>
                </w:rPr>
                <w:tab/>
              </w:r>
              <w:r>
                <w:rPr>
                  <w:rStyle w:val="Hyperlink"/>
                  <w:rFonts w:cs="Times"/>
                </w:rPr>
                <w:t>Rel-16 guard symbols mechanism is reused in Rel-17 IAB</w:t>
              </w:r>
              <w:r>
                <w:rPr>
                  <w:rStyle w:val="Hyperlink"/>
                </w:rPr>
                <w:t>.</w:t>
              </w:r>
            </w:hyperlink>
          </w:p>
          <w:p w14:paraId="33385718" w14:textId="77777777" w:rsidR="001B0E4C" w:rsidRDefault="002A2A33">
            <w:pPr>
              <w:pStyle w:val="TOC1"/>
              <w:tabs>
                <w:tab w:val="left" w:pos="1282"/>
              </w:tabs>
              <w:spacing w:after="120"/>
              <w:rPr>
                <w:rFonts w:asciiTheme="minorHAnsi" w:hAnsiTheme="minorHAnsi" w:cstheme="minorBidi"/>
                <w:b w:val="0"/>
                <w:bCs/>
                <w:i/>
                <w:iCs/>
                <w:sz w:val="21"/>
              </w:rPr>
            </w:pPr>
            <w:hyperlink w:anchor="_Toc79164586" w:history="1">
              <w:r>
                <w:rPr>
                  <w:rStyle w:val="Hyperlink"/>
                  <w:rFonts w:eastAsia="SimSun"/>
                </w:rPr>
                <w:t>Proposal 12:</w:t>
              </w:r>
              <w:r>
                <w:rPr>
                  <w:rFonts w:asciiTheme="minorHAnsi" w:hAnsiTheme="minorHAnsi" w:cstheme="minorBidi"/>
                  <w:b w:val="0"/>
                  <w:sz w:val="21"/>
                </w:rPr>
                <w:tab/>
              </w:r>
              <w:r>
                <w:rPr>
                  <w:rStyle w:val="Hyperlink"/>
                  <w:rFonts w:cs="Times"/>
                </w:rPr>
                <w:t xml:space="preserve">Guard band for FDM between backhaul link and access link at an IAB node </w:t>
              </w:r>
              <w:r>
                <w:rPr>
                  <w:rStyle w:val="Hyperlink"/>
                  <w:rFonts w:cs="Times"/>
                </w:rPr>
                <w:t>depends on implementation</w:t>
              </w:r>
              <w:r>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w:t>
              </w:r>
              <w:r>
                <w:rPr>
                  <w:rStyle w:val="Hyperlink"/>
                </w:rPr>
                <w:t xml:space="preserve">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w:instrText>
            </w:r>
            <w:r>
              <w:instrText xml:space="preserve">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2A2A33">
            <w:pPr>
              <w:pStyle w:val="TOC1"/>
              <w:tabs>
                <w:tab w:val="right" w:pos="9660"/>
              </w:tabs>
              <w:spacing w:after="120"/>
            </w:pPr>
            <w:hyperlink w:anchor="_Toc10069" w:history="1">
              <w:r>
                <w:rPr>
                  <w:rFonts w:eastAsia="SimSun"/>
                  <w:bCs/>
                  <w:iCs/>
                </w:rPr>
                <w:t xml:space="preserve">Proposal 2: </w:t>
              </w:r>
              <w:r>
                <w:rPr>
                  <w:rFonts w:hint="eastAsia"/>
                </w:rPr>
                <w:t>Parent nodes should be made aware of the</w:t>
              </w:r>
              <w:r>
                <w:rPr>
                  <w:rFonts w:hint="eastAsia"/>
                </w:rPr>
                <w:t xml:space="preserve"> carrier frequency information and reference carrier of an IAB DU cell</w:t>
              </w:r>
              <w:r>
                <w:t>.</w:t>
              </w:r>
            </w:hyperlink>
          </w:p>
          <w:p w14:paraId="7F78AD0C" w14:textId="77777777" w:rsidR="001B0E4C" w:rsidRDefault="002A2A33">
            <w:pPr>
              <w:pStyle w:val="TOC2"/>
              <w:tabs>
                <w:tab w:val="right" w:pos="9660"/>
              </w:tabs>
              <w:spacing w:before="120" w:after="120"/>
              <w:ind w:left="822" w:hanging="402"/>
            </w:pPr>
            <w:hyperlink w:anchor="_Toc27790" w:history="1">
              <w:r>
                <w:rPr>
                  <w:rFonts w:cs="Arial"/>
                </w:rPr>
                <w:t xml:space="preserve">• </w:t>
              </w:r>
              <w:r>
                <w:t xml:space="preserve">FFS: how to </w:t>
              </w:r>
              <w:r>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 xml:space="preserve">NTT DOCOMO </w:t>
            </w:r>
            <w:r>
              <w:t>(R1-2107877)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xml:space="preserve">:  To save signaling overhead, H/S/NA in freq. domain can be </w:t>
            </w:r>
            <w:r>
              <w:rPr>
                <w:rFonts w:eastAsia="SimSun"/>
                <w:b/>
                <w:bCs/>
                <w:sz w:val="22"/>
                <w:szCs w:val="22"/>
                <w:lang w:eastAsia="zh-CN"/>
              </w:rPr>
              <w:t>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both frequency domain H/S/NA </w:t>
            </w:r>
            <w:r>
              <w:rPr>
                <w:rFonts w:eastAsia="SimSun"/>
                <w:b/>
                <w:bCs/>
                <w:sz w:val="22"/>
                <w:szCs w:val="22"/>
                <w:lang w:eastAsia="zh-CN"/>
              </w:rPr>
              <w:t>and time domain H/S/NA are provided, whether frequency domain H/S/NA or time domain H/S/NA is applied can be determined by predefined rules considering e.g., multiplexing capability, MT/DU’s DL/UL direction, timing mode, power control, beam indication, etc</w:t>
            </w:r>
            <w:r>
              <w:rPr>
                <w:rFonts w:eastAsia="SimSun"/>
                <w:b/>
                <w:bCs/>
                <w:sz w:val="22"/>
                <w:szCs w:val="22"/>
                <w:lang w:eastAsia="zh-CN"/>
              </w:rPr>
              <w:t>.</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w:t>
            </w:r>
            <w:r>
              <w:rPr>
                <w:rFonts w:eastAsia="SimSun"/>
                <w:b/>
                <w:bCs/>
                <w:sz w:val="22"/>
                <w:szCs w:val="18"/>
                <w:lang w:eastAsia="zh-CN"/>
              </w:rPr>
              <w:t xml:space="preserv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xml:space="preserve">: If case#6 timing mode is required for simultaneous MT-Tx/DU-Tx, </w:t>
            </w:r>
            <w:r>
              <w:rPr>
                <w:rFonts w:eastAsia="SimSun"/>
                <w:b/>
                <w:bCs/>
                <w:sz w:val="22"/>
                <w:szCs w:val="18"/>
                <w:lang w:eastAsia="zh-CN"/>
              </w:rPr>
              <w:t>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w:t>
            </w:r>
            <w:r>
              <w:rPr>
                <w:rFonts w:eastAsia="SimSun"/>
                <w:b/>
                <w:bCs/>
                <w:sz w:val="22"/>
                <w:szCs w:val="18"/>
                <w:lang w:eastAsia="zh-CN"/>
              </w:rPr>
              <w:t>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xml:space="preserve">: Guard </w:t>
            </w:r>
            <w:r>
              <w:rPr>
                <w:rFonts w:eastAsia="SimSun"/>
                <w:b/>
                <w:sz w:val="22"/>
                <w:szCs w:val="22"/>
                <w:lang w:eastAsia="zh-CN"/>
              </w:rPr>
              <w:t>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 xml:space="preserve">The frequency domain granularity, i.e., the N RBs in </w:t>
            </w:r>
            <w:r>
              <w:rPr>
                <w:rFonts w:eastAsiaTheme="minorEastAsia"/>
                <w:bCs/>
                <w:i/>
                <w:iCs/>
              </w:rPr>
              <w:t>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w:t>
            </w:r>
            <w:r>
              <w:rPr>
                <w:rFonts w:eastAsiaTheme="minorEastAsia"/>
                <w:bCs/>
                <w:i/>
                <w:iCs/>
              </w:rPr>
              <w:t>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w:t>
            </w:r>
            <w:r>
              <w:rPr>
                <w:rFonts w:eastAsiaTheme="minorEastAsia"/>
                <w:bCs/>
                <w:i/>
                <w:iCs/>
              </w:rPr>
              <w:t xml:space="preserve"> configuration is always provided to the IAB-node even if ”TDM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w:t>
            </w:r>
            <w:r>
              <w:rPr>
                <w:rFonts w:eastAsiaTheme="minorEastAsia"/>
                <w:bCs/>
                <w:i/>
                <w:iCs/>
              </w:rPr>
              <w:t>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w:t>
            </w:r>
            <w:r>
              <w:rPr>
                <w:rFonts w:eastAsiaTheme="minorEastAsia"/>
                <w:bCs/>
                <w:i/>
                <w:iCs/>
              </w:rPr>
              <w:t>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w:t>
            </w:r>
            <w:r>
              <w:rPr>
                <w:rFonts w:eastAsiaTheme="minorEastAsia"/>
                <w:bCs/>
                <w:i/>
                <w:iCs/>
              </w:rPr>
              <w:t>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 xml:space="preserve">Explicit availability indication overrides SDM beam restrictions in </w:t>
            </w:r>
            <w:proofErr w:type="gramStart"/>
            <w:r>
              <w:rPr>
                <w:rFonts w:eastAsiaTheme="minorEastAsia"/>
                <w:bCs/>
                <w:i/>
                <w:iCs/>
              </w:rPr>
              <w:t>Soft</w:t>
            </w:r>
            <w:proofErr w:type="gramEnd"/>
            <w:r>
              <w:rPr>
                <w:rFonts w:eastAsiaTheme="minorEastAsia"/>
                <w:bCs/>
                <w:i/>
                <w:iCs/>
              </w:rPr>
              <w:t xml:space="preserve">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w:t>
            </w:r>
            <w:r>
              <w:rPr>
                <w:rFonts w:eastAsiaTheme="minorEastAsia"/>
                <w:bCs/>
                <w:i/>
                <w:iCs/>
              </w:rPr>
              <w:t>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w:t>
            </w:r>
            <w:r>
              <w:rPr>
                <w:rFonts w:eastAsiaTheme="minorEastAsia"/>
                <w:bCs/>
                <w:i/>
                <w:iCs/>
              </w:rPr>
              <w:t>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w:t>
            </w:r>
            <w:r>
              <w:rPr>
                <w:rFonts w:eastAsiaTheme="minorEastAsia"/>
                <w:bCs/>
                <w:i/>
                <w:iCs/>
              </w:rPr>
              <w:t>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w:t>
            </w:r>
            <w:r>
              <w:rPr>
                <w:rFonts w:eastAsiaTheme="minorEastAsia"/>
                <w:bCs/>
                <w:i/>
                <w:iCs/>
              </w:rPr>
              <w:t>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 xml:space="preserve">RAN1 should consider how an IAB-node can determine which timing mode </w:t>
            </w:r>
            <w:r>
              <w:rPr>
                <w:rFonts w:eastAsiaTheme="minorEastAsia"/>
                <w:bCs/>
                <w:i/>
                <w:iCs/>
              </w:rPr>
              <w:t>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w:t>
            </w:r>
            <w:r>
              <w:rPr>
                <w:rFonts w:eastAsiaTheme="minorEastAsia"/>
                <w:bCs/>
                <w:i/>
                <w:iCs/>
              </w:rPr>
              <w:t xml:space="preserve">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w:t>
            </w:r>
            <w:r>
              <w:rPr>
                <w:rFonts w:eastAsiaTheme="minorEastAsia"/>
                <w:bCs/>
                <w:i/>
                <w:iCs/>
              </w:rPr>
              <w:t>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 xml:space="preserve">an </w:t>
            </w:r>
            <w:r>
              <w:rPr>
                <w:rFonts w:eastAsiaTheme="minorEastAsia"/>
                <w:bCs/>
                <w:i/>
                <w:iCs/>
              </w:rPr>
              <w:t>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w:t>
            </w:r>
            <w:r>
              <w:rPr>
                <w:rFonts w:eastAsiaTheme="minorEastAsia"/>
                <w:bCs/>
                <w:i/>
                <w:iCs/>
              </w:rPr>
              <w:t xml:space="preserve">mat 2_5 to increase the number of IAB-DU cells that can be provided with availability information for </w:t>
            </w:r>
            <w:proofErr w:type="gramStart"/>
            <w:r>
              <w:rPr>
                <w:rFonts w:eastAsiaTheme="minorEastAsia"/>
                <w:bCs/>
                <w:i/>
                <w:iCs/>
              </w:rPr>
              <w:t>Soft</w:t>
            </w:r>
            <w:proofErr w:type="gramEnd"/>
            <w:r>
              <w:rPr>
                <w:rFonts w:eastAsiaTheme="minorEastAsia"/>
                <w:bCs/>
                <w:i/>
                <w:iCs/>
              </w:rPr>
              <w:t xml:space="preserve">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w:t>
            </w:r>
            <w:r>
              <w:rPr>
                <w:rFonts w:eastAsiaTheme="minorEastAsia"/>
                <w:bCs/>
                <w:i/>
                <w:iCs/>
              </w:rPr>
              <w:t xml:space="preserv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r>
              <w:rPr>
                <w:rFonts w:ascii="Times New Roman" w:hAnsi="Times New Roman" w:cs="Times New Roman"/>
                <w:sz w:val="22"/>
              </w:rPr>
              <w:lastRenderedPageBreak/>
              <w:t xml:space="preserve">CEWiT,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P</w:t>
            </w:r>
            <w:r>
              <w:rPr>
                <w:b/>
                <w:bCs/>
                <w:color w:val="000000"/>
                <w:lang w:val="en-GB"/>
              </w:rPr>
              <w:t xml:space="preserve">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w:t>
            </w:r>
            <w:r>
              <w:rPr>
                <w:lang w:val="en-IN"/>
              </w:rPr>
              <w:t>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 xml:space="preserve">IAB node and its parent node should </w:t>
            </w:r>
            <w:r>
              <w:t>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t>
            </w:r>
            <w:r>
              <w:t>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Frequ</w:t>
            </w:r>
            <w:r>
              <w:t xml:space="preserve">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 xml:space="preserve">ither the time domain H/S/NA configuration or frequency domain H/S/NA </w:t>
            </w:r>
            <w:r>
              <w:rPr>
                <w:bCs/>
                <w:color w:val="000000"/>
              </w:rPr>
              <w:t>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w:t>
            </w:r>
            <w:r>
              <w:rPr>
                <w:lang w:val="en-IN"/>
              </w:rPr>
              <w:t>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 xml:space="preserve">A Reference SCS is configured for frequency domain </w:t>
      </w:r>
      <w:r>
        <w:rPr>
          <w:rFonts w:cs="Times"/>
          <w:bCs/>
        </w:rPr>
        <w:t>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w:t>
      </w:r>
      <w:r>
        <w:rPr>
          <w:rFonts w:asciiTheme="minorHAnsi" w:hAnsiTheme="minorHAnsi" w:cstheme="minorHAnsi"/>
          <w:b/>
          <w:sz w:val="24"/>
          <w:szCs w:val="24"/>
        </w:rPr>
        <w:t>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w:t>
            </w:r>
            <w:r>
              <w:rPr>
                <w:rFonts w:eastAsia="SimSun" w:hint="eastAsia"/>
                <w:sz w:val="22"/>
                <w:szCs w:val="22"/>
                <w:lang w:eastAsia="zh-CN"/>
              </w:rPr>
              <w:t>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w:t>
            </w:r>
            <w:r>
              <w:rPr>
                <w:rFonts w:eastAsia="SimSun" w:hint="eastAsia"/>
                <w:sz w:val="22"/>
                <w:szCs w:val="22"/>
                <w:lang w:eastAsia="zh-CN"/>
              </w:rPr>
              <w:t xml:space="preserve"> node and its parent node as well as the CU have a consistent understanding on the used HSNA configuration on the IAB node, this also has less signalling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sz w:val="22"/>
                <w:szCs w:val="22"/>
                <w:lang w:eastAsia="ko-KR"/>
              </w:rPr>
              <w:t>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w:t>
            </w:r>
            <w:r>
              <w:rPr>
                <w:rFonts w:ascii="Calibri" w:eastAsia="Malgun Gothic" w:hAnsi="Calibri" w:hint="eastAsia"/>
                <w:bCs/>
                <w:sz w:val="22"/>
                <w:szCs w:val="22"/>
                <w:lang w:eastAsia="ko-KR"/>
              </w:rPr>
              <w:t>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w:t>
            </w:r>
            <w:r>
              <w:rPr>
                <w:rFonts w:ascii="Calibri" w:eastAsia="Malgun Gothic" w:hAnsi="Calibri"/>
                <w:color w:val="FF0000"/>
                <w:sz w:val="22"/>
                <w:szCs w:val="22"/>
                <w:lang w:eastAsia="ko-KR"/>
              </w:rPr>
              <w:t>-frequency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w:t>
            </w:r>
            <w:r>
              <w:rPr>
                <w:rFonts w:ascii="Calibri" w:eastAsia="Malgun Gothic" w:hAnsi="Calibri"/>
                <w:sz w:val="22"/>
                <w:szCs w:val="22"/>
                <w:lang w:eastAsia="ko-KR"/>
              </w:rPr>
              <w:t xml:space="preserve">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w:t>
            </w:r>
            <w:r>
              <w:rPr>
                <w:rFonts w:ascii="Calibri" w:eastAsiaTheme="minorEastAsia" w:hAnsi="Calibri"/>
                <w:bCs/>
                <w:sz w:val="22"/>
                <w:szCs w:val="22"/>
                <w:lang w:eastAsia="zh-CN"/>
              </w:rPr>
              <w:t>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For the second bullet, it seems that there is an underlying assumption that TDM and FDM may coexist and dynamic switching between them is supported. Given that the H/S/NA are semi-static resource configurations which does not change very often, it is not c</w:t>
            </w:r>
            <w:r>
              <w:rPr>
                <w:rFonts w:ascii="Calibri" w:eastAsiaTheme="minorEastAsia" w:hAnsi="Calibri"/>
                <w:bCs/>
                <w:sz w:val="22"/>
                <w:szCs w:val="22"/>
                <w:lang w:eastAsia="zh-CN"/>
              </w:rPr>
              <w:t xml:space="preserve">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the frequency domain H/S/NA configu</w:t>
      </w:r>
      <w:r>
        <w:rPr>
          <w:rFonts w:asciiTheme="minorHAnsi" w:hAnsiTheme="minorHAnsi" w:cstheme="minorHAnsi"/>
          <w:b/>
          <w:sz w:val="24"/>
          <w:szCs w:val="24"/>
        </w:rPr>
        <w:t xml:space="preserve">ration is not provided, the time domain H/S/NA is applied </w:t>
      </w:r>
    </w:p>
    <w:p w14:paraId="2B1AA7B3"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w:t>
      </w:r>
      <w:r>
        <w:rPr>
          <w:rFonts w:asciiTheme="minorHAnsi" w:hAnsiTheme="minorHAnsi" w:cstheme="minorHAnsi"/>
          <w:b/>
          <w:sz w:val="24"/>
          <w:szCs w:val="24"/>
        </w:rPr>
        <w:t>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r>
            <w:r>
              <w:rPr>
                <w:rFonts w:ascii="Calibri" w:eastAsia="Malgun Gothic" w:hAnsi="Calibri"/>
                <w:b/>
                <w:bCs/>
                <w:sz w:val="22"/>
                <w:szCs w:val="22"/>
                <w:lang w:eastAsia="ko-KR"/>
              </w:rPr>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determination</w:t>
            </w:r>
            <w:r>
              <w:rPr>
                <w:rFonts w:ascii="Calibri" w:eastAsia="Malgun Gothic" w:hAnsi="Calibri"/>
                <w:b/>
                <w:bCs/>
                <w:sz w:val="22"/>
                <w:szCs w:val="22"/>
                <w:lang w:eastAsia="ko-KR"/>
              </w:rPr>
              <w:t xml:space="preserve">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w:t>
            </w:r>
            <w:r>
              <w:rPr>
                <w:rFonts w:ascii="Calibri" w:eastAsia="Malgun Gothic" w:hAnsi="Calibri" w:hint="eastAsia"/>
                <w:bCs/>
                <w:sz w:val="22"/>
                <w:szCs w:val="22"/>
                <w:lang w:eastAsia="zh-CN"/>
              </w:rPr>
              <w:t>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w:t>
            </w:r>
            <w:r>
              <w:rPr>
                <w:rFonts w:asciiTheme="minorHAnsi" w:hAnsiTheme="minorHAnsi" w:cstheme="minorHAnsi"/>
                <w:b/>
                <w:sz w:val="24"/>
                <w:szCs w:val="24"/>
              </w:rPr>
              <w:t xml:space="preserve">if the frequency domain H/S/NA configuration is not provided, the time domain H/S/NA is applied </w:t>
            </w:r>
          </w:p>
          <w:p w14:paraId="0FA8FC07" w14:textId="77777777" w:rsidR="001B0E4C" w:rsidRDefault="002A2A33">
            <w:pPr>
              <w:pStyle w:val="ListParagraph"/>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8ADE8FA" w14:textId="23C712EF" w:rsidR="002A2A33" w:rsidRDefault="002A2A33">
            <w:pPr>
              <w:rPr>
                <w:rFonts w:ascii="Calibri" w:eastAsia="Malgun Gothic" w:hAnsi="Calibri" w:hint="eastAsia"/>
                <w:bCs/>
                <w:sz w:val="22"/>
                <w:szCs w:val="22"/>
                <w:lang w:eastAsia="zh-CN"/>
              </w:rPr>
            </w:pPr>
            <w:r>
              <w:rPr>
                <w:rFonts w:ascii="Calibri" w:eastAsia="Malgun Gothic" w:hAnsi="Calibri"/>
                <w:bCs/>
                <w:sz w:val="22"/>
                <w:szCs w:val="22"/>
                <w:lang w:eastAsia="zh-CN"/>
              </w:rPr>
              <w:t>Support</w:t>
            </w:r>
          </w:p>
        </w:tc>
      </w:tr>
    </w:tbl>
    <w:p w14:paraId="064219F8" w14:textId="77777777" w:rsidR="001B0E4C" w:rsidRDefault="001B0E4C">
      <w:pPr>
        <w:pStyle w:val="BodyText"/>
      </w:pPr>
    </w:p>
    <w:p w14:paraId="30EAEBE7" w14:textId="77777777" w:rsidR="001B0E4C" w:rsidRDefault="002A2A33">
      <w:pPr>
        <w:rPr>
          <w:b/>
          <w:bCs/>
        </w:rPr>
      </w:pPr>
      <w:r>
        <w:rPr>
          <w:rFonts w:asciiTheme="minorHAnsi" w:hAnsiTheme="minorHAnsi" w:cstheme="minorHAnsi"/>
          <w:b/>
        </w:rPr>
        <w:t>Proposal 2.1.4: To support soft resource availability in</w:t>
      </w:r>
      <w:r>
        <w:rPr>
          <w:rFonts w:asciiTheme="minorHAnsi" w:hAnsiTheme="minorHAnsi" w:cstheme="minorHAnsi"/>
          <w:b/>
        </w:rPr>
        <w:t xml:space="preserve">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w:t>
      </w:r>
      <w:r>
        <w:rPr>
          <w:rFonts w:asciiTheme="minorHAnsi" w:hAnsiTheme="minorHAnsi" w:cstheme="minorHAnsi"/>
          <w:b/>
          <w:lang w:val="en-GB"/>
        </w:rPr>
        <w:t>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w:t>
            </w:r>
            <w:r>
              <w:rPr>
                <w:rFonts w:eastAsia="SimSun" w:hint="eastAsia"/>
                <w:sz w:val="22"/>
                <w:szCs w:val="22"/>
                <w:lang w:eastAsia="zh-CN"/>
              </w:rPr>
              <w:t xml:space="preserve">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w:t>
            </w:r>
            <w:r>
              <w:rPr>
                <w:rFonts w:asciiTheme="minorHAnsi" w:hAnsiTheme="minorHAnsi" w:cstheme="minorHAnsi"/>
                <w:b/>
                <w:strike/>
                <w:color w:val="FF0000"/>
              </w:rPr>
              <w:t>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“the values of configured availability combinations extended to </w:t>
            </w:r>
            <w:r>
              <w:rPr>
                <w:rFonts w:ascii="Calibri" w:eastAsia="Malgun Gothic" w:hAnsi="Calibri"/>
                <w:sz w:val="22"/>
                <w:szCs w:val="22"/>
                <w:lang w:eastAsia="ko-KR"/>
              </w:rPr>
              <w:t>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The potential benefit to extend the indication of availability in the frequency-domain with the granularity of an RB set is not justified considering FDM is already achieved by semi-static configuration. Alternatively, this can be discussed when the framew</w:t>
            </w:r>
            <w:r>
              <w:rPr>
                <w:rFonts w:ascii="Calibri" w:eastAsiaTheme="minorEastAsia" w:hAnsi="Calibri"/>
                <w:bCs/>
                <w:sz w:val="22"/>
                <w:szCs w:val="22"/>
                <w:lang w:eastAsia="zh-CN"/>
              </w:rPr>
              <w:t xml:space="preserve">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w:t>
      </w:r>
      <w:r>
        <w:rPr>
          <w:rFonts w:asciiTheme="minorHAnsi" w:hAnsiTheme="minorHAnsi" w:cstheme="minorHAnsi"/>
          <w:b/>
          <w:lang w:val="en-GB"/>
        </w:rPr>
        <w:t>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w:t>
            </w:r>
            <w:r>
              <w:rPr>
                <w:rFonts w:ascii="Calibri" w:eastAsiaTheme="minorEastAsia" w:hAnsi="Calibri"/>
                <w:b/>
                <w:bCs/>
                <w:sz w:val="22"/>
                <w:szCs w:val="22"/>
                <w:lang w:eastAsia="zh-CN"/>
              </w:rPr>
              <w:t>DCI format 2_5 indicates availability for RB sets #1, a second DCI format 2_5 indicates availability for RB set #2. If this is the interpretation of this proposal, we do not support. We think one DCI format 2_5 is sufficient to indicate an availability com</w:t>
            </w:r>
            <w:r>
              <w:rPr>
                <w:rFonts w:ascii="Calibri" w:eastAsiaTheme="minorEastAsia" w:hAnsi="Calibri"/>
                <w:b/>
                <w:bCs/>
                <w:sz w:val="22"/>
                <w:szCs w:val="22"/>
                <w:lang w:eastAsia="zh-CN"/>
              </w:rPr>
              <w:t>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If Proposal 2.1.4 is agreed, in our understanding, frequency domain availability for multiple RB sets can be indicated by a DCI. Then, we don’t think this </w:t>
            </w:r>
            <w:r>
              <w:rPr>
                <w:rFonts w:ascii="Calibri" w:eastAsia="Malgun Gothic" w:hAnsi="Calibri"/>
                <w:bCs/>
                <w:sz w:val="22"/>
                <w:szCs w:val="22"/>
                <w:lang w:eastAsia="ko-KR"/>
              </w:rPr>
              <w:t>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w:t>
            </w:r>
            <w:r>
              <w:rPr>
                <w:rFonts w:ascii="Calibri" w:eastAsiaTheme="minorEastAsia" w:hAnsi="Calibri"/>
                <w:sz w:val="22"/>
                <w:szCs w:val="22"/>
                <w:lang w:eastAsia="zh-CN"/>
              </w:rPr>
              <w:t xml:space="preserve">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No support. We share similar view as </w:t>
            </w:r>
            <w:r>
              <w:rPr>
                <w:rFonts w:ascii="Calibri" w:eastAsia="Malgun Gothic" w:hAnsi="Calibri"/>
                <w:sz w:val="22"/>
                <w:szCs w:val="22"/>
                <w:lang w:eastAsia="ko-KR"/>
              </w:rPr>
              <w:t>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w:t>
            </w:r>
            <w:r>
              <w:rPr>
                <w:rFonts w:ascii="Calibri" w:eastAsia="Malgun Gothic" w:hAnsi="Calibri"/>
                <w:bCs/>
                <w:sz w:val="22"/>
                <w:szCs w:val="22"/>
                <w:lang w:eastAsia="ko-KR"/>
              </w:rPr>
              <w:t>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not clear about the multiple DCI format 2_5 in this proposal. Are different DCI 2_5s corresponding to different RB sets for the child IAB-DU cell? If </w:t>
            </w:r>
            <w:r>
              <w:rPr>
                <w:rFonts w:ascii="Calibri" w:eastAsia="Malgun Gothic" w:hAnsi="Calibri"/>
                <w:sz w:val="22"/>
                <w:szCs w:val="22"/>
                <w:lang w:eastAsia="ko-KR"/>
              </w:rPr>
              <w:t>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w:t>
            </w:r>
            <w:r>
              <w:rPr>
                <w:rFonts w:ascii="Calibri" w:eastAsiaTheme="minorEastAsia" w:hAnsi="Calibri"/>
                <w:sz w:val="22"/>
                <w:szCs w:val="22"/>
                <w:lang w:eastAsia="zh-CN"/>
              </w:rPr>
              <w:t>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w:t>
      </w:r>
      <w:r>
        <w:rPr>
          <w:rFonts w:asciiTheme="minorHAnsi" w:hAnsiTheme="minorHAnsi" w:cstheme="minorHAnsi"/>
          <w:b/>
        </w:rPr>
        <w:t xml:space="preserve">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for </w:t>
      </w:r>
      <w:r>
        <w:rPr>
          <w:rFonts w:asciiTheme="minorHAnsi" w:hAnsiTheme="minorHAnsi" w:cstheme="minorHAnsi"/>
          <w:b/>
        </w:rPr>
        <w:t>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w:t>
            </w:r>
            <w:r>
              <w:rPr>
                <w:rFonts w:ascii="Calibri" w:eastAsia="Malgun Gothic" w:hAnsi="Calibri"/>
                <w:b/>
                <w:bCs/>
                <w:sz w:val="22"/>
                <w:szCs w:val="22"/>
                <w:lang w:eastAsia="ko-KR"/>
              </w:rPr>
              <w:t xml:space="preserve">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w:t>
            </w:r>
            <w:r>
              <w:rPr>
                <w:rFonts w:ascii="Calibri" w:eastAsia="Malgun Gothic" w:hAnsi="Calibri" w:hint="eastAsia"/>
                <w:bCs/>
                <w:sz w:val="22"/>
                <w:szCs w:val="22"/>
                <w:lang w:eastAsia="zh-CN"/>
              </w:rPr>
              <w:t xml:space="preserve">tives imply that the availability is indicated per RB </w:t>
            </w:r>
            <w:proofErr w:type="spellStart"/>
            <w:r>
              <w:rPr>
                <w:rFonts w:ascii="Calibri" w:eastAsia="Malgun Gothic" w:hAnsi="Calibri" w:hint="eastAsia"/>
                <w:bCs/>
                <w:sz w:val="22"/>
                <w:szCs w:val="22"/>
                <w:lang w:eastAsia="zh-CN"/>
              </w:rPr>
              <w:t>set.As</w:t>
            </w:r>
            <w:proofErr w:type="spell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w:t>
            </w:r>
            <w:r>
              <w:rPr>
                <w:rFonts w:asciiTheme="minorHAnsi" w:hAnsiTheme="minorHAnsi" w:cstheme="minorHAnsi"/>
                <w:b/>
                <w:strike/>
                <w:color w:val="FF0000"/>
              </w:rPr>
              <w:t>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 A single DCI format 2_5 can be received</w:t>
            </w:r>
            <w:r>
              <w:rPr>
                <w:rFonts w:asciiTheme="minorHAnsi" w:hAnsiTheme="minorHAnsi" w:cstheme="minorHAnsi"/>
                <w:b/>
              </w:rPr>
              <w:t xml:space="preserve">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w:t>
            </w:r>
            <w:r>
              <w:rPr>
                <w:rFonts w:asciiTheme="minorHAnsi" w:hAnsiTheme="minorHAnsi" w:cstheme="minorHAnsi"/>
                <w:b/>
                <w:color w:val="FF0000"/>
              </w:rPr>
              <w:t xml:space="preserve">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3529A20" w14:textId="431425E8" w:rsidR="002A2A33" w:rsidRDefault="002A2A33">
            <w:pPr>
              <w:rPr>
                <w:rFonts w:ascii="Calibri" w:eastAsia="Malgun Gothic" w:hAnsi="Calibri" w:hint="eastAsia"/>
                <w:bCs/>
                <w:sz w:val="22"/>
                <w:szCs w:val="22"/>
                <w:lang w:eastAsia="zh-CN"/>
              </w:rPr>
            </w:pPr>
            <w:r>
              <w:rPr>
                <w:rFonts w:ascii="Calibri" w:eastAsia="Malgun Gothic" w:hAnsi="Calibri"/>
                <w:bCs/>
                <w:sz w:val="22"/>
                <w:szCs w:val="22"/>
                <w:lang w:eastAsia="zh-CN"/>
              </w:rPr>
              <w:t>Support</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 xml:space="preserve">Proposal 2.1.6: The frequency domain granularity N of an RB set is M times the number of PRBs in an RBG of the </w:t>
      </w:r>
      <w:r>
        <w:rPr>
          <w:rFonts w:asciiTheme="minorHAnsi" w:hAnsiTheme="minorHAnsi" w:cstheme="minorHAnsi"/>
          <w:b/>
        </w:rPr>
        <w:t>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the </w:t>
            </w:r>
            <w:r>
              <w:rPr>
                <w:rFonts w:ascii="Calibri" w:eastAsiaTheme="minorEastAsia" w:hAnsi="Calibri"/>
                <w:b/>
                <w:bCs/>
                <w:sz w:val="22"/>
                <w:szCs w:val="22"/>
                <w:lang w:eastAsia="zh-CN"/>
              </w:rPr>
              <w:t>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w:t>
            </w:r>
            <w:r>
              <w:rPr>
                <w:rFonts w:eastAsia="SimSun" w:hint="eastAsia"/>
                <w:sz w:val="22"/>
                <w:szCs w:val="22"/>
                <w:lang w:eastAsia="zh-CN"/>
              </w:rPr>
              <w:t xml:space="preserve"> to specify the bonding of N and RBG_MT. And it is also not clear how this would work, for example, multiple BWPs/RBG_MTs may be configured, which RBG would be used? and the dynamic BWP switching may be performed, whether N is also dynamically changed acco</w:t>
            </w:r>
            <w:r>
              <w:rPr>
                <w:rFonts w:eastAsia="SimSun" w:hint="eastAsia"/>
                <w:sz w:val="22"/>
                <w:szCs w:val="22"/>
                <w:lang w:eastAsia="zh-CN"/>
              </w:rPr>
              <w:t>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With respect to </w:t>
            </w:r>
            <w:r>
              <w:rPr>
                <w:rFonts w:ascii="Calibri" w:eastAsia="Malgun Gothic" w:hAnsi="Calibri"/>
                <w:sz w:val="22"/>
                <w:szCs w:val="22"/>
                <w:lang w:eastAsia="ko-KR"/>
              </w:rPr>
              <w:t>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w:t>
            </w:r>
            <w:r>
              <w:rPr>
                <w:rFonts w:ascii="Calibri" w:eastAsia="Malgun Gothic" w:hAnsi="Calibri"/>
                <w:sz w:val="22"/>
                <w:szCs w:val="22"/>
                <w:lang w:eastAsia="ko-KR"/>
              </w:rPr>
              <w:t xml:space="preserv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First, since the RBG size is determined according to the BWP size, the RBG size may be different for each BWP of </w:t>
            </w:r>
            <w:r>
              <w:rPr>
                <w:rFonts w:ascii="Calibri" w:eastAsia="Malgun Gothic" w:hAnsi="Calibri"/>
                <w:bCs/>
                <w:sz w:val="22"/>
                <w:szCs w:val="22"/>
                <w:lang w:eastAsia="ko-KR"/>
              </w:rPr>
              <w:t>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w:t>
            </w:r>
            <w:r>
              <w:rPr>
                <w:rFonts w:ascii="Calibri" w:eastAsia="Malgun Gothic" w:hAnsi="Calibri"/>
                <w:bCs/>
                <w:sz w:val="22"/>
                <w:szCs w:val="22"/>
                <w:lang w:eastAsia="ko-KR"/>
              </w:rPr>
              <w:t xml:space="preserve">responding MT-CCs for a DU-cell. </w:t>
            </w:r>
            <w:proofErr w:type="gramStart"/>
            <w:r>
              <w:rPr>
                <w:rFonts w:ascii="Calibri" w:eastAsia="Malgun Gothic" w:hAnsi="Calibri"/>
                <w:bCs/>
                <w:sz w:val="22"/>
                <w:szCs w:val="22"/>
                <w:lang w:eastAsia="ko-KR"/>
              </w:rPr>
              <w:t>At this time</w:t>
            </w:r>
            <w:proofErr w:type="gramEnd"/>
            <w:r>
              <w:rPr>
                <w:rFonts w:ascii="Calibri" w:eastAsia="Malgun Gothic" w:hAnsi="Calibri"/>
                <w:bCs/>
                <w:sz w:val="22"/>
                <w:szCs w:val="22"/>
                <w:lang w:eastAsia="ko-KR"/>
              </w:rPr>
              <w:t>,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Considering these things, rather than the value of N corresponding to the RBG size of the MT, we prefer to keep the same candidate values </w:t>
            </w:r>
            <w:r>
              <w:rPr>
                <w:rFonts w:ascii="Calibri" w:eastAsia="Malgun Gothic" w:hAnsi="Calibri"/>
                <w:bCs/>
                <w:sz w:val="22"/>
                <w:szCs w:val="22"/>
                <w:lang w:eastAsia="ko-KR"/>
              </w:rPr>
              <w:t>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 xml:space="preserve">the existing </w:t>
            </w:r>
            <w:r>
              <w:rPr>
                <w:rFonts w:ascii="Calibri" w:eastAsia="Malgun Gothic" w:hAnsi="Calibri" w:hint="eastAsia"/>
                <w:bCs/>
                <w:sz w:val="22"/>
                <w:szCs w:val="22"/>
                <w:lang w:eastAsia="ko-KR"/>
              </w:rPr>
              <w:t>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w:t>
            </w:r>
            <w:r>
              <w:rPr>
                <w:rFonts w:ascii="Calibri" w:eastAsia="Malgun Gothic" w:hAnsi="Calibri"/>
                <w:sz w:val="22"/>
                <w:szCs w:val="22"/>
                <w:lang w:eastAsia="ko-KR"/>
              </w:rPr>
              <w:t>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w:t>
            </w:r>
            <w:r>
              <w:rPr>
                <w:rFonts w:ascii="Calibri" w:eastAsiaTheme="minorEastAsia" w:hAnsi="Calibri"/>
                <w:bCs/>
                <w:sz w:val="22"/>
                <w:szCs w:val="22"/>
                <w:lang w:eastAsia="zh-CN"/>
              </w:rPr>
              <w:t xml:space="preserve">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w:t>
            </w:r>
            <w:r>
              <w:rPr>
                <w:rFonts w:ascii="Calibri" w:eastAsiaTheme="minorEastAsia" w:hAnsi="Calibri"/>
                <w:bCs/>
                <w:sz w:val="22"/>
                <w:szCs w:val="22"/>
                <w:lang w:eastAsia="zh-CN"/>
              </w:rPr>
              <w:t xml:space="preserv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Moreover, the RBG size of IAB-MT is determined by the BWP size and RRC </w:t>
            </w:r>
            <w:r>
              <w:rPr>
                <w:rFonts w:ascii="Calibri" w:eastAsiaTheme="minorEastAsia" w:hAnsi="Calibri"/>
                <w:bCs/>
                <w:sz w:val="22"/>
                <w:szCs w:val="22"/>
                <w:lang w:eastAsia="zh-CN"/>
              </w:rPr>
              <w:t xml:space="preserve">configuration of IAB-MT. Considering the IAB-MT can have multiple serving cell and multiple BWPs with one serving cell, the RBG-MT is not a single value in typical scenario. Therefore, we may need other complicated rules to further determine the reference </w:t>
            </w:r>
            <w:r>
              <w:rPr>
                <w:rFonts w:ascii="Calibri" w:eastAsiaTheme="minorEastAsia" w:hAnsi="Calibri"/>
                <w:bCs/>
                <w:sz w:val="22"/>
                <w:szCs w:val="22"/>
                <w:lang w:eastAsia="zh-CN"/>
              </w:rPr>
              <w:t>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w:t>
            </w:r>
            <w:r>
              <w:rPr>
                <w:rFonts w:ascii="Calibri" w:eastAsia="Malgun Gothic" w:hAnsi="Calibri"/>
                <w:sz w:val="22"/>
                <w:szCs w:val="22"/>
                <w:lang w:eastAsia="ko-KR"/>
              </w:rPr>
              <w:t xml:space="preserve">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t xml:space="preserve">Alt 1 (RBG scaling). N = M × </w:t>
      </w:r>
      <w:r>
        <w:rPr>
          <w:rFonts w:asciiTheme="minorHAnsi" w:hAnsiTheme="minorHAnsi" w:cstheme="minorHAnsi"/>
          <w:b/>
        </w:rPr>
        <w:t>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Alt 3 (No scaling). N is a configured number of PRBs, where N = {1</w:t>
      </w:r>
      <w:r>
        <w:rPr>
          <w:rFonts w:asciiTheme="minorHAnsi" w:hAnsiTheme="minorHAnsi" w:cstheme="minorHAnsi"/>
          <w:b/>
        </w:rPr>
        <w:t xml:space="preserve">, 4, 8, 16}. </w:t>
      </w:r>
    </w:p>
    <w:p w14:paraId="009420DB" w14:textId="77777777" w:rsidR="001B0E4C" w:rsidRDefault="002A2A33">
      <w:pPr>
        <w:pStyle w:val="ListParagraph"/>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lastRenderedPageBreak/>
              <w:t xml:space="preserve">Without the note, and it </w:t>
            </w:r>
            <w:r>
              <w:rPr>
                <w:rFonts w:ascii="Calibri" w:eastAsiaTheme="minorEastAsia" w:hAnsi="Calibri" w:hint="eastAsia"/>
                <w:bCs/>
                <w:sz w:val="22"/>
                <w:szCs w:val="22"/>
                <w:lang w:eastAsia="zh-CN"/>
              </w:rPr>
              <w:t>seems the last FFS is only related to Alt 1 and Alt 2.</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r>
        <w:t>.</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w:t>
            </w:r>
            <w:r>
              <w:rPr>
                <w:rFonts w:ascii="Calibri" w:eastAsiaTheme="minorEastAsia" w:hAnsi="Calibri"/>
                <w:b/>
                <w:bCs/>
                <w:sz w:val="22"/>
                <w:szCs w:val="22"/>
                <w:lang w:eastAsia="zh-CN"/>
              </w:rPr>
              <w:t>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w:t>
            </w:r>
            <w:r>
              <w:t>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w:t>
            </w:r>
            <w:r>
              <w:rPr>
                <w:rFonts w:eastAsia="SimSun" w:hint="eastAsia"/>
                <w:sz w:val="22"/>
                <w:szCs w:val="22"/>
                <w:lang w:eastAsia="zh-CN"/>
              </w:rPr>
              <w:t xml:space="preserve"> understanding is correct, this proposal is for dynamic indication/reporting  from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w:t>
            </w:r>
            <w:r>
              <w:rPr>
                <w:rFonts w:ascii="Calibri" w:eastAsia="Malgun Gothic" w:hAnsi="Calibri"/>
                <w:sz w:val="22"/>
                <w:szCs w:val="22"/>
                <w:lang w:eastAsia="ko-KR"/>
              </w:rPr>
              <w:t xml:space="preserve">tion is performed. In addition, a natural restriction is that simultaneous operation itself is restricted to </w:t>
            </w:r>
            <w:proofErr w:type="gramStart"/>
            <w:r>
              <w:rPr>
                <w:rFonts w:ascii="Calibri" w:eastAsia="Malgun Gothic" w:hAnsi="Calibri"/>
                <w:sz w:val="22"/>
                <w:szCs w:val="22"/>
                <w:lang w:eastAsia="ko-KR"/>
              </w:rPr>
              <w:t>Soft</w:t>
            </w:r>
            <w:proofErr w:type="gramEnd"/>
            <w:r>
              <w:rPr>
                <w:rFonts w:ascii="Calibri" w:eastAsia="Malgun Gothic" w:hAnsi="Calibri"/>
                <w:sz w:val="22"/>
                <w:szCs w:val="22"/>
                <w:lang w:eastAsia="ko-KR"/>
              </w:rPr>
              <w:t xml:space="preserve"> resources (that we admittedly have not yet agreed to) with the existing interpretations of H/S/NA. Furthermore, the interpretation in case of </w:t>
            </w:r>
            <w:r>
              <w:rPr>
                <w:rFonts w:ascii="Calibri" w:eastAsia="Malgun Gothic" w:hAnsi="Calibri"/>
                <w:sz w:val="22"/>
                <w:szCs w:val="22"/>
                <w:lang w:eastAsia="ko-KR"/>
              </w:rPr>
              <w:t>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Fur</w:t>
            </w:r>
            <w:r>
              <w:rPr>
                <w:rFonts w:ascii="Calibri" w:eastAsia="Malgun Gothic" w:hAnsi="Calibri"/>
                <w:sz w:val="22"/>
                <w:szCs w:val="22"/>
                <w:lang w:eastAsia="ko-KR"/>
              </w:rPr>
              <w:t xml:space="preserve">thermore, we do not support dynamic reporting.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 xml:space="preserve">of two different subjects (i.e., a child node a parent node) for spatial domain </w:t>
            </w:r>
            <w:r>
              <w:rPr>
                <w:rFonts w:ascii="Calibri" w:eastAsia="SimSun" w:hAnsi="Calibri"/>
                <w:bCs/>
                <w:sz w:val="22"/>
                <w:szCs w:val="22"/>
                <w:lang w:eastAsia="zh-CN"/>
              </w:rPr>
              <w:t>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w:t>
            </w:r>
            <w:r>
              <w:rPr>
                <w:rFonts w:ascii="Calibri" w:eastAsia="Malgun Gothic" w:hAnsi="Calibri"/>
                <w:sz w:val="22"/>
                <w:szCs w:val="22"/>
                <w:lang w:eastAsia="ko-KR"/>
              </w:rPr>
              <w:t>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 xml:space="preserve">the child node can dynamically report to the parent node a set of recommended beams, not preferred beams, or both recommended and </w:t>
                  </w:r>
                  <w:r>
                    <w:rPr>
                      <w:rFonts w:ascii="Times" w:eastAsia="Batang" w:hAnsi="Times" w:cs="Times"/>
                      <w:sz w:val="20"/>
                      <w:szCs w:val="20"/>
                      <w:lang w:val="en-GB" w:eastAsia="zh-CN"/>
                    </w:rPr>
                    <w:t>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w:t>
            </w:r>
            <w:r>
              <w:rPr>
                <w:rFonts w:asciiTheme="minorHAnsi" w:hAnsiTheme="minorHAnsi" w:cstheme="minorHAnsi"/>
                <w:lang w:val="en-US"/>
              </w:rPr>
              <w:t>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w:t>
      </w:r>
      <w:r>
        <w:rPr>
          <w:rFonts w:asciiTheme="minorHAnsi" w:eastAsiaTheme="minorHAnsi" w:hAnsiTheme="minorHAnsi"/>
          <w:b/>
          <w:bCs/>
        </w:rPr>
        <w:t>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 xml:space="preserve">f this understanding is correct, we can </w:t>
            </w:r>
            <w:r>
              <w:rPr>
                <w:rFonts w:ascii="Calibri" w:eastAsia="Malgun Gothic" w:hAnsi="Calibri"/>
                <w:b/>
                <w:bCs/>
                <w:sz w:val="22"/>
                <w:szCs w:val="22"/>
                <w:lang w:eastAsia="ko-KR"/>
              </w:rPr>
              <w:t>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xml:space="preserve">, I do not </w:t>
            </w:r>
            <w:r>
              <w:rPr>
                <w:rFonts w:ascii="Calibri" w:eastAsiaTheme="minorEastAsia" w:hAnsi="Calibri" w:hint="eastAsia"/>
                <w:sz w:val="22"/>
                <w:szCs w:val="22"/>
                <w:lang w:eastAsia="zh-CN"/>
              </w:rPr>
              <w:t xml:space="preserve">remember we have </w:t>
            </w:r>
            <w:proofErr w:type="gramStart"/>
            <w:r>
              <w:rPr>
                <w:rFonts w:ascii="Calibri" w:eastAsiaTheme="minorEastAsia" w:hAnsi="Calibri" w:hint="eastAsia"/>
                <w:sz w:val="22"/>
                <w:szCs w:val="22"/>
                <w:lang w:eastAsia="zh-CN"/>
              </w:rPr>
              <w:t>achieve</w:t>
            </w:r>
            <w:proofErr w:type="gramEnd"/>
            <w:r>
              <w:rPr>
                <w:rFonts w:ascii="Calibri" w:eastAsiaTheme="minorEastAsia" w:hAnsi="Calibri" w:hint="eastAsia"/>
                <w:sz w:val="22"/>
                <w:szCs w:val="22"/>
                <w:lang w:eastAsia="zh-CN"/>
              </w:rPr>
              <w:t xml:space="preser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F296C13" w14:textId="46D22A1F" w:rsidR="002A2A33" w:rsidRDefault="002A2A33">
            <w:pPr>
              <w:rPr>
                <w:rFonts w:ascii="Calibri" w:eastAsiaTheme="minorEastAsia" w:hAnsi="Calibri" w:hint="eastAsia"/>
                <w:sz w:val="22"/>
                <w:szCs w:val="22"/>
                <w:lang w:eastAsia="zh-CN"/>
              </w:rPr>
            </w:pPr>
            <w:r>
              <w:rPr>
                <w:rFonts w:ascii="Calibri" w:eastAsiaTheme="minorEastAsia" w:hAnsi="Calibri"/>
                <w:sz w:val="22"/>
                <w:szCs w:val="22"/>
                <w:lang w:eastAsia="zh-CN"/>
              </w:rPr>
              <w:t xml:space="preserve">Support </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More clarification is needed,  e.g.,</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w:t>
            </w:r>
            <w:r>
              <w:rPr>
                <w:rFonts w:ascii="Calibri" w:eastAsia="Malgun Gothic" w:hAnsi="Calibri"/>
                <w:b/>
                <w:bCs/>
                <w:sz w:val="22"/>
                <w:szCs w:val="22"/>
                <w:lang w:eastAsia="ko-KR"/>
              </w:rPr>
              <w:t>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w:t>
            </w:r>
            <w:r>
              <w:rPr>
                <w:rFonts w:ascii="Calibri" w:eastAsia="Malgun Gothic" w:hAnsi="Calibri"/>
                <w:sz w:val="22"/>
                <w:szCs w:val="22"/>
                <w:lang w:eastAsia="ko-KR"/>
              </w:rPr>
              <w:t xml:space="preserve">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are </w:t>
            </w:r>
            <w:r>
              <w:rPr>
                <w:rFonts w:ascii="Calibri" w:eastAsia="SimSun" w:hAnsi="Calibri"/>
                <w:bCs/>
                <w:sz w:val="22"/>
                <w:szCs w:val="22"/>
                <w:lang w:eastAsia="zh-CN"/>
              </w:rPr>
              <w:t>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lastRenderedPageBreak/>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 xml:space="preserve">e don’t see the </w:t>
            </w:r>
            <w:r>
              <w:rPr>
                <w:rFonts w:ascii="Calibri" w:eastAsia="Malgun Gothic" w:hAnsi="Calibri"/>
                <w:sz w:val="22"/>
                <w:szCs w:val="22"/>
                <w:lang w:eastAsia="ko-KR"/>
              </w:rPr>
              <w:t>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Semi-static signaling means signaling from CU, e.g., RRC/F1… if the intention is to use </w:t>
            </w:r>
            <w:r>
              <w:rPr>
                <w:rFonts w:ascii="Calibri" w:eastAsiaTheme="minorEastAsia" w:hAnsi="Calibri"/>
                <w:sz w:val="22"/>
                <w:szCs w:val="22"/>
                <w:lang w:eastAsia="zh-CN"/>
              </w:rPr>
              <w:t>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we should first discuss the proper reference signals/channel for the indication. To our understanding, SSB beams and PDSCH beams can be different; in this case, restrict SSB beams can be </w:t>
            </w:r>
            <w:r>
              <w:rPr>
                <w:rFonts w:ascii="Calibri" w:eastAsiaTheme="minorEastAsia" w:hAnsi="Calibri"/>
                <w:bCs/>
                <w:sz w:val="22"/>
                <w:szCs w:val="22"/>
                <w:lang w:eastAsia="zh-CN"/>
              </w:rPr>
              <w:t>invalid.</w:t>
            </w:r>
          </w:p>
        </w:tc>
      </w:tr>
    </w:tbl>
    <w:p w14:paraId="0DDCFF7A" w14:textId="77777777" w:rsidR="001B0E4C" w:rsidRDefault="001B0E4C">
      <w:pPr>
        <w:pStyle w:val="BodyText"/>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w:t>
      </w:r>
      <w:r>
        <w:rPr>
          <w:rFonts w:asciiTheme="minorHAnsi" w:eastAsiaTheme="minorHAnsi" w:hAnsiTheme="minorHAnsi"/>
          <w:b/>
          <w:bCs/>
          <w:sz w:val="24"/>
          <w:szCs w:val="24"/>
        </w:rPr>
        <w:t>.g.</w:t>
      </w:r>
      <w:proofErr w:type="gramEnd"/>
      <w:r>
        <w:rPr>
          <w:rFonts w:asciiTheme="minorHAnsi" w:eastAsiaTheme="minorHAnsi" w:hAnsiTheme="minorHAnsi"/>
          <w:b/>
          <w:bCs/>
          <w:sz w:val="24"/>
          <w:szCs w:val="24"/>
        </w:rPr>
        <w:t xml:space="preserve"> F1/RRC)</w:t>
      </w:r>
    </w:p>
    <w:p w14:paraId="2750AB56" w14:textId="77777777" w:rsidR="001B0E4C"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bl>
    <w:p w14:paraId="7FFB47CF" w14:textId="77777777" w:rsidR="001B0E4C" w:rsidRDefault="001B0E4C">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w:t>
      </w:r>
      <w:r>
        <w:rPr>
          <w:rFonts w:asciiTheme="minorHAnsi" w:eastAsiaTheme="minorHAnsi" w:hAnsiTheme="minorHAnsi"/>
          <w:b/>
          <w:bCs/>
          <w:sz w:val="24"/>
          <w:szCs w:val="24"/>
        </w:rPr>
        <w:t xml:space="preserve">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w:t>
      </w:r>
      <w:r>
        <w:rPr>
          <w:rFonts w:asciiTheme="minorHAnsi" w:hAnsiTheme="minorHAnsi" w:cstheme="minorHAnsi"/>
          <w:b/>
          <w:lang w:val="en-GB"/>
        </w:rPr>
        <w:t>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We think it is reasonable that CSI reporting framework is reused. In our understanding the beam management mechanism should be IAB-MT reports recommended beams as SSBRI/CRI in </w:t>
            </w:r>
            <w:r>
              <w:rPr>
                <w:rFonts w:ascii="Calibri" w:eastAsiaTheme="minorEastAsia" w:hAnsi="Calibri"/>
                <w:b/>
                <w:bCs/>
                <w:sz w:val="22"/>
                <w:szCs w:val="22"/>
                <w:lang w:eastAsia="zh-CN"/>
              </w:rPr>
              <w:t>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w:t>
            </w:r>
            <w:r>
              <w:rPr>
                <w:rFonts w:asciiTheme="minorHAnsi" w:eastAsiaTheme="minorHAnsi" w:hAnsiTheme="minorHAnsi"/>
                <w:b/>
                <w:bCs/>
                <w:sz w:val="24"/>
                <w:szCs w:val="24"/>
              </w:rPr>
              <w:t>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 xml:space="preserve">Alt. 3. </w:t>
            </w:r>
            <w:r>
              <w:rPr>
                <w:rFonts w:asciiTheme="minorHAnsi" w:eastAsiaTheme="minorHAnsi" w:hAnsiTheme="minorHAnsi"/>
                <w:b/>
                <w:bCs/>
                <w:sz w:val="24"/>
                <w:szCs w:val="24"/>
              </w:rPr>
              <w:t>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w:t>
            </w:r>
            <w:r>
              <w:rPr>
                <w:rFonts w:ascii="Calibri" w:eastAsia="SimSun" w:hAnsi="Calibri"/>
                <w:bCs/>
                <w:sz w:val="22"/>
                <w:szCs w:val="22"/>
                <w:lang w:eastAsia="zh-CN"/>
              </w:rPr>
              <w:t>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support this proposal and have a </w:t>
            </w:r>
            <w:r>
              <w:rPr>
                <w:rFonts w:ascii="Calibri" w:eastAsia="SimSun" w:hAnsi="Calibri"/>
                <w:bCs/>
                <w:sz w:val="22"/>
                <w:szCs w:val="22"/>
                <w:lang w:eastAsia="zh-CN"/>
              </w:rPr>
              <w:t>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 xml:space="preserve">he following </w:t>
            </w:r>
            <w:r>
              <w:rPr>
                <w:rFonts w:ascii="Calibri" w:eastAsia="Malgun Gothic" w:hAnsi="Calibri"/>
                <w:bCs/>
                <w:sz w:val="22"/>
                <w:szCs w:val="22"/>
                <w:lang w:eastAsia="ko-KR"/>
              </w:rPr>
              <w:t>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w:t>
            </w:r>
            <w:r>
              <w:rPr>
                <w:rFonts w:asciiTheme="minorHAnsi" w:hAnsiTheme="minorHAnsi" w:cstheme="minorHAnsi"/>
                <w:b/>
                <w:color w:val="FF0000"/>
                <w:sz w:val="22"/>
                <w:szCs w:val="22"/>
              </w:rPr>
              <w:t>-RS,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lastRenderedPageBreak/>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In Rel17, there is on-going discussion on unified TCI framework</w:t>
            </w:r>
            <w:r>
              <w:rPr>
                <w:rFonts w:ascii="Calibri" w:eastAsia="Malgun Gothic" w:hAnsi="Calibri"/>
                <w:sz w:val="22"/>
                <w:szCs w:val="22"/>
                <w:lang w:eastAsia="ko-KR"/>
              </w:rPr>
              <w:t xml:space="preserve">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We do not support Alt3 using SR/PRACH. It seem</w:t>
            </w:r>
            <w:r>
              <w:rPr>
                <w:rFonts w:ascii="Calibri" w:eastAsia="Malgun Gothic" w:hAnsi="Calibri"/>
                <w:sz w:val="22"/>
                <w:szCs w:val="22"/>
                <w:lang w:eastAsia="ko-KR"/>
              </w:rPr>
              <w:t xml:space="preserve">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w:t>
            </w:r>
            <w:r>
              <w:rPr>
                <w:rFonts w:ascii="Calibri" w:eastAsia="SimSun" w:hAnsi="Calibri"/>
                <w:bCs/>
                <w:sz w:val="22"/>
                <w:szCs w:val="22"/>
                <w:lang w:eastAsia="zh-CN"/>
              </w:rPr>
              <w:t xml:space="preserve">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w:t>
      </w:r>
      <w:proofErr w:type="gramStart"/>
      <w:r>
        <w:rPr>
          <w:rFonts w:asciiTheme="minorHAnsi" w:hAnsiTheme="minorHAnsi" w:cstheme="minorHAnsi"/>
          <w:b/>
          <w:sz w:val="24"/>
          <w:szCs w:val="24"/>
          <w:lang w:val="en-GB"/>
        </w:rPr>
        <w:t>e.g.</w:t>
      </w:r>
      <w:proofErr w:type="gramEnd"/>
      <w:r>
        <w:rPr>
          <w:rFonts w:asciiTheme="minorHAnsi" w:hAnsiTheme="minorHAnsi" w:cstheme="minorHAnsi"/>
          <w:b/>
          <w:sz w:val="24"/>
          <w:szCs w:val="24"/>
          <w:lang w:val="en-GB"/>
        </w:rPr>
        <w:t xml:space="preserve"> TCI s</w:t>
      </w:r>
      <w:r>
        <w:rPr>
          <w:rFonts w:asciiTheme="minorHAnsi" w:hAnsiTheme="minorHAnsi" w:cstheme="minorHAnsi"/>
          <w:b/>
          <w:sz w:val="24"/>
          <w:szCs w:val="24"/>
          <w:lang w:val="en-GB"/>
        </w:rPr>
        <w:t>tate ID, Spatial relation information ID, RS ID (including CSI-RS, SRS, SSB, etc.))</w:t>
      </w:r>
    </w:p>
    <w:p w14:paraId="702565A2"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 xml:space="preserve">e still believe that the “not </w:t>
            </w:r>
            <w:r>
              <w:rPr>
                <w:rFonts w:eastAsia="Malgun Gothic"/>
                <w:b/>
                <w:bCs/>
                <w:lang w:eastAsia="ko-KR"/>
              </w:rPr>
              <w:t>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hint="eastAsia"/>
                <w:lang w:eastAsia="zh-CN"/>
              </w:rPr>
            </w:pPr>
            <w:r>
              <w:rPr>
                <w:rFonts w:eastAsiaTheme="minorEastAsia"/>
                <w:lang w:eastAsia="zh-CN"/>
              </w:rPr>
              <w:t>Support</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lastRenderedPageBreak/>
        <w:t xml:space="preserve">Proposal 2.3.1: To </w:t>
      </w:r>
      <w:r>
        <w:rPr>
          <w:rFonts w:asciiTheme="minorHAnsi" w:hAnsiTheme="minorHAnsi" w:cstheme="minorHAnsi"/>
          <w:b/>
        </w:rPr>
        <w:t>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778947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w:t>
      </w:r>
      <w:r>
        <w:rPr>
          <w:rFonts w:asciiTheme="minorHAnsi" w:hAnsiTheme="minorHAnsi" w:cstheme="minorHAnsi"/>
          <w:b/>
          <w:sz w:val="24"/>
          <w:szCs w:val="24"/>
        </w:rPr>
        <w:t>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w:t>
            </w:r>
            <w:r>
              <w:rPr>
                <w:rFonts w:ascii="Calibri" w:eastAsiaTheme="minorEastAsia" w:hAnsi="Calibri"/>
                <w:b/>
                <w:bCs/>
                <w:sz w:val="22"/>
                <w:szCs w:val="22"/>
                <w:lang w:eastAsia="zh-CN"/>
              </w:rPr>
              <w:t xml:space="preserve">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w:t>
            </w:r>
            <w:r>
              <w:rPr>
                <w:rFonts w:ascii="Calibri" w:eastAsiaTheme="minorEastAsia" w:hAnsi="Calibri"/>
                <w:b/>
                <w:bCs/>
                <w:sz w:val="22"/>
                <w:szCs w:val="22"/>
                <w:lang w:eastAsia="zh-CN"/>
              </w:rPr>
              <w:t>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For desired IAB-MT Tx and/or Rx beam(s), we would like to understand whether it is the same </w:t>
            </w:r>
            <w:r>
              <w:rPr>
                <w:rFonts w:ascii="Calibri" w:eastAsiaTheme="minorEastAsia" w:hAnsi="Calibri"/>
                <w:b/>
                <w:bCs/>
                <w:sz w:val="22"/>
                <w:szCs w:val="22"/>
                <w:lang w:eastAsia="zh-CN"/>
              </w:rPr>
              <w:t>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 xml:space="preserve">For the main bullet, share similar view as Docomo, it is not necessary to report these conditions/parameters per {MT-CC, DU cell}-pair, per MT CC or per DU </w:t>
            </w:r>
            <w:r>
              <w:rPr>
                <w:rFonts w:eastAsia="SimSun" w:hint="eastAsia"/>
                <w:sz w:val="22"/>
                <w:szCs w:val="22"/>
                <w:lang w:eastAsia="zh-CN"/>
              </w:rPr>
              <w:t>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w:t>
            </w:r>
            <w:r>
              <w:rPr>
                <w:rFonts w:eastAsia="SimSun" w:hint="eastAsia"/>
                <w:sz w:val="22"/>
                <w:szCs w:val="22"/>
                <w:lang w:eastAsia="zh-CN"/>
              </w:rPr>
              <w:t>parent node.</w:t>
            </w:r>
          </w:p>
          <w:p w14:paraId="176D0F22" w14:textId="77777777" w:rsidR="001B0E4C" w:rsidRDefault="002A2A33">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w:t>
            </w:r>
            <w:r>
              <w:rPr>
                <w:rFonts w:ascii="Calibri" w:eastAsia="Malgun Gothic" w:hAnsi="Calibri"/>
                <w:sz w:val="22"/>
                <w:szCs w:val="22"/>
                <w:lang w:eastAsia="ko-KR"/>
              </w:rPr>
              <w:t>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lastRenderedPageBreak/>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w:t>
            </w:r>
            <w:r>
              <w:rPr>
                <w:rFonts w:ascii="Calibri" w:eastAsia="Malgun Gothic" w:hAnsi="Calibri"/>
                <w:sz w:val="22"/>
                <w:szCs w:val="22"/>
                <w:lang w:eastAsia="ko-KR"/>
              </w:rPr>
              <w:t xml:space="preserve">–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control of</w:t>
            </w:r>
            <w:r>
              <w:rPr>
                <w:rFonts w:ascii="Calibri" w:eastAsia="Malgun Gothic" w:hAnsi="Calibri"/>
                <w:sz w:val="22"/>
                <w:szCs w:val="22"/>
                <w:lang w:eastAsia="ko-KR"/>
              </w:rPr>
              <w:t xml:space="preserve">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w:t>
            </w:r>
            <w:r>
              <w:rPr>
                <w:rFonts w:ascii="Calibri" w:eastAsia="Malgun Gothic" w:hAnsi="Calibri"/>
                <w:bCs/>
                <w:sz w:val="22"/>
                <w:szCs w:val="22"/>
                <w:lang w:eastAsia="ko-KR"/>
              </w:rPr>
              <w:t>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To facilitate adaptation of multiplexing o</w:t>
            </w:r>
            <w:r>
              <w:rPr>
                <w:rFonts w:asciiTheme="minorHAnsi" w:hAnsiTheme="minorHAnsi" w:cstheme="minorHAnsi"/>
              </w:rPr>
              <w:t xml:space="preserve">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w:t>
            </w:r>
            <w:r>
              <w:rPr>
                <w:rFonts w:ascii="Calibri" w:eastAsiaTheme="minorEastAsia" w:hAnsi="Calibri"/>
                <w:sz w:val="22"/>
                <w:szCs w:val="22"/>
                <w:lang w:eastAsia="zh-CN"/>
              </w:rPr>
              <w:t>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w:t>
            </w:r>
            <w:r>
              <w:rPr>
                <w:rFonts w:ascii="Calibri" w:eastAsiaTheme="minorEastAsia" w:hAnsi="Calibri"/>
                <w:sz w:val="22"/>
                <w:szCs w:val="22"/>
                <w:lang w:eastAsia="zh-CN"/>
              </w:rPr>
              <w:t>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lastRenderedPageBreak/>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w:t>
            </w:r>
            <w:r>
              <w:rPr>
                <w:rFonts w:asciiTheme="minorHAnsi" w:hAnsiTheme="minorHAnsi" w:cstheme="minorHAnsi"/>
                <w:sz w:val="22"/>
                <w:lang w:eastAsia="zh-CN"/>
              </w:rPr>
              <w:t xml:space="preserve">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DMRS antenna port, an IAB node may need to perform joint processing to support a specific multip</w:t>
            </w:r>
            <w:r>
              <w:rPr>
                <w:rFonts w:asciiTheme="minorHAnsi" w:hAnsiTheme="minorHAnsi" w:cstheme="minorHAnsi"/>
                <w:sz w:val="22"/>
                <w:lang w:eastAsia="zh-CN"/>
              </w:rPr>
              <w:t xml:space="preserve">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w:t>
            </w:r>
            <w:r>
              <w:rPr>
                <w:rFonts w:asciiTheme="minorHAnsi" w:hAnsiTheme="minorHAnsi" w:cstheme="minorHAnsi"/>
                <w:sz w:val="22"/>
                <w:lang w:eastAsia="zh-CN"/>
              </w:rPr>
              <w:t xml:space="preserve">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w:t>
      </w:r>
      <w:r>
        <w:rPr>
          <w:rFonts w:asciiTheme="minorHAnsi" w:hAnsiTheme="minorHAnsi" w:cstheme="minorHAnsi"/>
          <w:b/>
        </w:rPr>
        <w:t>es:</w:t>
      </w:r>
    </w:p>
    <w:p w14:paraId="39A7F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7C79D20C"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w:t>
      </w:r>
      <w:r>
        <w:rPr>
          <w:rFonts w:asciiTheme="minorHAnsi" w:hAnsiTheme="minorHAnsi" w:cstheme="minorHAnsi"/>
          <w:b/>
        </w:rPr>
        <w:t xml:space="preserve">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 xml:space="preserve">hanks, Huawei, for the detailed </w:t>
            </w:r>
            <w:r>
              <w:rPr>
                <w:rFonts w:ascii="Calibri" w:eastAsia="Malgun Gothic" w:hAnsi="Calibri"/>
                <w:b/>
                <w:bCs/>
                <w:sz w:val="22"/>
                <w:szCs w:val="22"/>
                <w:lang w:eastAsia="ko-KR"/>
              </w:rPr>
              <w:t>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Does it mean that some of IAB nodes may be able to perform DU/MT simultaneous operations even based on the overlapped (or non-orthogonal) DMRS ports? We thought that this </w:t>
            </w:r>
            <w:r>
              <w:rPr>
                <w:rFonts w:ascii="Calibri" w:eastAsia="Malgun Gothic" w:hAnsi="Calibri"/>
                <w:b/>
                <w:bCs/>
                <w:sz w:val="22"/>
                <w:szCs w:val="22"/>
                <w:lang w:eastAsia="ko-KR"/>
              </w:rPr>
              <w:t>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w:t>
            </w:r>
            <w:r>
              <w:rPr>
                <w:rFonts w:eastAsiaTheme="minorEastAsia" w:hint="eastAsia"/>
                <w:lang w:eastAsia="zh-CN"/>
              </w:rPr>
              <w:t>lar as 2.2.4b.</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lastRenderedPageBreak/>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t xml:space="preserve">FFS: Need for explicit parent acknowledgement for </w:t>
      </w:r>
      <w:r>
        <w:rPr>
          <w:rFonts w:asciiTheme="minorHAnsi" w:hAnsiTheme="minorHAnsi" w:cstheme="minorHAnsi"/>
          <w:b/>
          <w:sz w:val="24"/>
          <w:szCs w:val="24"/>
        </w:rPr>
        <w:t>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w:t>
            </w:r>
            <w:r>
              <w:rPr>
                <w:rFonts w:eastAsia="SimSun" w:hint="eastAsia"/>
                <w:sz w:val="22"/>
                <w:szCs w:val="22"/>
                <w:lang w:eastAsia="zh-CN"/>
              </w:rPr>
              <w:t xml:space="preserv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w:t>
            </w:r>
            <w:r>
              <w:rPr>
                <w:rFonts w:ascii="Calibri" w:eastAsia="Malgun Gothic" w:hAnsi="Calibri"/>
                <w:bCs/>
                <w:sz w:val="22"/>
                <w:szCs w:val="22"/>
                <w:lang w:eastAsia="ko-KR"/>
              </w:rPr>
              <w:t>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 multiplexing operation mode, the intention of the proposal is still not clear. Is the subject transmitting the proposed signaling in the main bullet IAB-MT? Or is it the parent DU/CU? We basicall</w:t>
            </w:r>
            <w:r>
              <w:rPr>
                <w:rFonts w:ascii="Calibri" w:eastAsia="Malgun Gothic" w:hAnsi="Calibri"/>
                <w:bCs/>
                <w:sz w:val="22"/>
                <w:szCs w:val="22"/>
                <w:lang w:eastAsia="ko-KR"/>
              </w:rPr>
              <w:t xml:space="preserve">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w:t>
            </w:r>
            <w:r>
              <w:rPr>
                <w:rFonts w:ascii="Calibri" w:eastAsia="Malgun Gothic" w:hAnsi="Calibri"/>
                <w:bCs/>
                <w:sz w:val="22"/>
                <w:szCs w:val="22"/>
                <w:lang w:eastAsia="ko-KR"/>
              </w:rPr>
              <w:t xml:space="preserve">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w:t>
            </w:r>
            <w:r>
              <w:rPr>
                <w:rFonts w:ascii="Calibri" w:eastAsia="Malgun Gothic" w:hAnsi="Calibri"/>
                <w:sz w:val="22"/>
                <w:szCs w:val="22"/>
                <w:lang w:eastAsia="ko-KR"/>
              </w:rPr>
              <w:t>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lastRenderedPageBreak/>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w:t>
            </w:r>
            <w:r>
              <w:rPr>
                <w:rFonts w:ascii="Calibri" w:eastAsiaTheme="minorEastAsia" w:hAnsi="Calibri"/>
                <w:bCs/>
                <w:sz w:val="22"/>
                <w:szCs w:val="22"/>
                <w:lang w:eastAsia="zh-CN"/>
              </w:rPr>
              <w:t>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in our understanding, the motivation of indication of guard symbols i</w:t>
            </w:r>
            <w:r>
              <w:rPr>
                <w:rFonts w:ascii="Calibri" w:eastAsiaTheme="minorEastAsia" w:hAnsi="Calibri"/>
                <w:b/>
                <w:bCs/>
                <w:sz w:val="22"/>
                <w:szCs w:val="22"/>
                <w:lang w:eastAsia="zh-CN"/>
              </w:rPr>
              <w:t xml:space="preserve">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w:t>
            </w:r>
            <w:r>
              <w:rPr>
                <w:rFonts w:ascii="Calibri" w:hAnsi="Calibri" w:cs="Calibri"/>
                <w:b/>
                <w:color w:val="FF0000"/>
                <w:sz w:val="22"/>
                <w:szCs w:val="22"/>
              </w:rPr>
              <w:t>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w:t>
            </w:r>
            <w:r>
              <w:rPr>
                <w:rFonts w:ascii="Calibri" w:eastAsia="Malgun Gothic" w:hAnsi="Calibri"/>
                <w:bCs/>
                <w:sz w:val="22"/>
                <w:szCs w:val="22"/>
                <w:lang w:eastAsia="ko-KR"/>
              </w:rPr>
              <w:t xml:space="preserve">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w:t>
            </w:r>
            <w:r>
              <w:rPr>
                <w:rFonts w:ascii="Calibri" w:eastAsia="Malgun Gothic" w:hAnsi="Calibri"/>
                <w:bCs/>
                <w:sz w:val="22"/>
                <w:szCs w:val="22"/>
                <w:lang w:eastAsia="ko-KR"/>
              </w:rPr>
              <w:t>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w:t>
            </w:r>
            <w:r>
              <w:rPr>
                <w:rFonts w:ascii="Calibri" w:eastAsia="Malgun Gothic" w:hAnsi="Calibri"/>
                <w:bCs/>
                <w:sz w:val="22"/>
                <w:szCs w:val="22"/>
                <w:lang w:eastAsia="ko-KR"/>
              </w:rPr>
              <w:t>ing cases are supported in Rel-17, the amount of guard symbols required for MT/DU transition (which is introduced in Rel-16) when the IAB-node operates in case 6 or 7 timing mode is different from the amount of guard symbols applied for the case 1 timing m</w:t>
            </w:r>
            <w:r>
              <w:rPr>
                <w:rFonts w:ascii="Calibri" w:eastAsia="Malgun Gothic" w:hAnsi="Calibri"/>
                <w:bCs/>
                <w:sz w:val="22"/>
                <w:szCs w:val="22"/>
                <w:lang w:eastAsia="ko-KR"/>
              </w:rPr>
              <w:t>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lastRenderedPageBreak/>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In addition, it seems necessary to handle the </w:t>
            </w:r>
            <w:r>
              <w:rPr>
                <w:rFonts w:ascii="Calibri" w:eastAsia="Malgun Gothic" w:hAnsi="Calibri"/>
                <w:bCs/>
                <w:sz w:val="22"/>
                <w:szCs w:val="22"/>
                <w:lang w:eastAsia="ko-KR"/>
              </w:rPr>
              <w:t>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w:t>
            </w:r>
            <w:r>
              <w:rPr>
                <w:rFonts w:ascii="Calibri" w:eastAsiaTheme="minorEastAsia" w:hAnsi="Calibri"/>
                <w:bCs/>
                <w:sz w:val="22"/>
                <w:szCs w:val="22"/>
                <w:lang w:eastAsia="zh-CN"/>
              </w:rPr>
              <w:t xml:space="preserve">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r>
              <w:rPr>
                <w:rFonts w:ascii="Calibri" w:eastAsiaTheme="minorEastAsia" w:hAnsi="Calibri"/>
                <w:bCs/>
                <w:sz w:val="22"/>
                <w:szCs w:val="22"/>
                <w:lang w:eastAsia="zh-CN"/>
              </w:rPr>
              <w:t>.</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 xml:space="preserve">MAC-CE signaling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w:t>
      </w:r>
      <w:r>
        <w:rPr>
          <w:rFonts w:asciiTheme="minorHAnsi" w:hAnsiTheme="minorHAnsi" w:cstheme="minorHAnsi"/>
          <w:b/>
          <w:lang w:val="en-GB"/>
        </w:rPr>
        <w:t>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We think it is not needed. Guard symbols are defined for switchi</w:t>
            </w:r>
            <w:r>
              <w:rPr>
                <w:rFonts w:ascii="Calibri" w:eastAsiaTheme="minorEastAsia" w:hAnsi="Calibri"/>
                <w:bCs/>
                <w:sz w:val="22"/>
                <w:szCs w:val="22"/>
                <w:lang w:eastAsia="zh-CN"/>
              </w:rPr>
              <w:t xml:space="preserve">ng between MT and DU because IAB node and parent node need to exchange the information of timing misalignment between MT and DU. Although </w:t>
            </w:r>
            <w:r>
              <w:rPr>
                <w:rFonts w:ascii="Calibri" w:eastAsia="Malgun Gothic" w:hAnsi="Calibri"/>
                <w:bCs/>
                <w:sz w:val="22"/>
                <w:szCs w:val="22"/>
                <w:lang w:eastAsia="ko-KR"/>
              </w:rPr>
              <w:t>overlapping may occur between MT UL Tx with different timing cases, it can be handled by parent node’s implementation.</w:t>
            </w:r>
            <w:r>
              <w:rPr>
                <w:rFonts w:ascii="Calibri" w:eastAsia="Malgun Gothic" w:hAnsi="Calibri"/>
                <w:bCs/>
                <w:sz w:val="22"/>
                <w:szCs w:val="22"/>
                <w:lang w:eastAsia="ko-KR"/>
              </w:rPr>
              <w:t xml:space="preserve">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F7F683A" w14:textId="0C884102" w:rsidR="002A2A33" w:rsidRDefault="002A2A33">
            <w:pPr>
              <w:rPr>
                <w:rFonts w:ascii="Calibri" w:eastAsia="Malgun Gothic" w:hAnsi="Calibri" w:hint="eastAsia"/>
                <w:b/>
                <w:bCs/>
                <w:sz w:val="22"/>
                <w:szCs w:val="22"/>
                <w:lang w:eastAsia="ko-KR"/>
              </w:rPr>
            </w:pPr>
            <w:r>
              <w:rPr>
                <w:rFonts w:ascii="Calibri" w:eastAsia="Malgun Gothic" w:hAnsi="Calibri"/>
                <w:b/>
                <w:bCs/>
                <w:sz w:val="22"/>
                <w:szCs w:val="22"/>
                <w:lang w:eastAsia="ko-KR"/>
              </w:rPr>
              <w:t>Support</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ListParagraph"/>
        <w:numPr>
          <w:ilvl w:val="0"/>
          <w:numId w:val="18"/>
        </w:numPr>
        <w:spacing w:before="120" w:after="180"/>
      </w:pPr>
      <w:r>
        <w:t xml:space="preserve">Specification of enhancements to the resource multiplexing between child and parent links of an IAB </w:t>
      </w:r>
      <w:r>
        <w:t>node, including:</w:t>
      </w:r>
    </w:p>
    <w:p w14:paraId="16D322DE" w14:textId="77777777" w:rsidR="001B0E4C" w:rsidRDefault="002A2A33">
      <w:pPr>
        <w:pStyle w:val="ListParagraph"/>
        <w:numPr>
          <w:ilvl w:val="1"/>
          <w:numId w:val="18"/>
        </w:numPr>
        <w:spacing w:before="120" w:after="180"/>
      </w:pPr>
      <w:r>
        <w:lastRenderedPageBreak/>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w:t>
      </w:r>
      <w:r>
        <w:rPr>
          <w:b/>
          <w:bCs/>
        </w:rPr>
        <w:t>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 xml:space="preserve">To </w:t>
            </w:r>
            <w:r>
              <w:rPr>
                <w:rFonts w:eastAsiaTheme="minorEastAsia"/>
                <w:i/>
                <w:lang w:eastAsia="zh-CN"/>
              </w:rPr>
              <w:t>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Observation 2: Semi-static U/D/F configurations are aligned between the associated IAB-MT’s cells belonging to MCG and SCG after coordinating the IAB-MT’s TDD configurations from diffe</w:t>
            </w:r>
            <w:r>
              <w:rPr>
                <w:rFonts w:eastAsiaTheme="minorEastAsia"/>
                <w:b/>
                <w:bCs/>
                <w:sz w:val="20"/>
                <w:szCs w:val="20"/>
              </w:rPr>
              <w:t xml:space="preserv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w:t>
            </w:r>
            <w:r>
              <w:rPr>
                <w:rFonts w:eastAsiaTheme="minorEastAsia"/>
                <w:b/>
                <w:bCs/>
                <w:sz w:val="20"/>
                <w:szCs w:val="20"/>
              </w:rPr>
              <w:t xml:space="preserv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w:t>
            </w:r>
            <w:r>
              <w:rPr>
                <w:rFonts w:eastAsiaTheme="minorEastAsia"/>
                <w:b/>
                <w:bCs/>
                <w:sz w:val="20"/>
                <w:szCs w:val="20"/>
              </w:rPr>
              <w:t>L/DL conflict.</w:t>
            </w:r>
          </w:p>
          <w:p w14:paraId="1664F2D5" w14:textId="77777777" w:rsidR="001B0E4C" w:rsidRDefault="002A2A33">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w:t>
            </w:r>
            <w:r>
              <w:rPr>
                <w:rFonts w:eastAsiaTheme="minorEastAsia"/>
              </w:rPr>
              <w:t xml:space="preserve">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w:t>
            </w:r>
            <w:r>
              <w:rPr>
                <w:b/>
                <w:bCs/>
                <w:i/>
                <w:iCs/>
              </w:rPr>
              <w:t xml:space="preserve">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w:t>
            </w:r>
            <w:r>
              <w:rPr>
                <w:b/>
                <w:bCs/>
                <w:i/>
                <w:iCs/>
              </w:rPr>
              <w:t xml:space="preserve">support simultaneous Tx and Rx on </w:t>
            </w:r>
            <w:r>
              <w:rPr>
                <w:b/>
                <w:bCs/>
                <w:i/>
                <w:iCs/>
              </w:rPr>
              <w:lastRenderedPageBreak/>
              <w:t xml:space="preserve">different carriers, it does not expect to receive conflicting DCI 2_0 from different parents. </w:t>
            </w:r>
          </w:p>
          <w:p w14:paraId="1C91AC60" w14:textId="77777777" w:rsidR="001B0E4C" w:rsidRDefault="002A2A33">
            <w:pPr>
              <w:pStyle w:val="ListParagraph"/>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Proposal 3.2: In inter-donor inter-band inter-carrier DC scenario, if the IAB MT does not support simultaneous Tx and Rx on different carriers, it must apply conflict resolution rules when it receives indications/configurations of conflicting DCI 2_0 and/o</w:t>
            </w:r>
            <w:r>
              <w:rPr>
                <w:b/>
                <w:bCs/>
                <w:i/>
                <w:iCs/>
              </w:rPr>
              <w:t xml:space="preserve">r semi static TDD configurations from different parents. </w:t>
            </w:r>
          </w:p>
          <w:p w14:paraId="5CD46C23" w14:textId="77777777" w:rsidR="001B0E4C" w:rsidRDefault="002A2A33">
            <w:pPr>
              <w:pStyle w:val="ListParagraph"/>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Proposal 3.3: In inter-carrier DC, the indication of availability of soft resources via DCI format 2-5 from a parent node is only valid for the IAB-DU cell(s) which u</w:t>
            </w:r>
            <w:r>
              <w:rPr>
                <w:b/>
                <w:bCs/>
                <w:i/>
                <w:iCs/>
              </w:rPr>
              <w:t xml:space="preserve">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w:t>
            </w:r>
            <w:r>
              <w:rPr>
                <w:rFonts w:ascii="Calibri" w:hAnsi="Calibri" w:cs="Calibri"/>
                <w:b/>
                <w:bCs/>
                <w:color w:val="000000"/>
                <w:sz w:val="22"/>
                <w:szCs w:val="22"/>
              </w:rPr>
              <w:t>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w:t>
            </w:r>
            <w:r>
              <w:t>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include scenarios of resource conflicts due to timing </w:t>
            </w:r>
            <w:r>
              <w:t>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w:t>
            </w:r>
            <w:r>
              <w:rPr>
                <w:b/>
                <w:bCs/>
              </w:rPr>
              <w:t>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w:t>
            </w:r>
            <w:r>
              <w:rPr>
                <w:b/>
                <w:bCs/>
              </w:rPr>
              <w:t xml:space="preserve">scenario. These rules 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w:t>
            </w:r>
            <w:r>
              <w:rPr>
                <w:b/>
                <w:bCs/>
              </w:rPr>
              <w:t>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w:t>
            </w:r>
            <w:r>
              <w:rPr>
                <w:b/>
                <w:bCs/>
              </w:rPr>
              <w:t xml:space="preserve">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w:t>
            </w:r>
            <w:r>
              <w:rPr>
                <w:b/>
                <w:bCs/>
                <w:u w:val="single"/>
                <w:lang w:eastAsia="zh-CN"/>
              </w:rPr>
              <w:t>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 xml:space="preserve">can be determined as available with respect to all serving cells of IAB-MT, where the determination with respect to a serving cell can be </w:t>
            </w:r>
            <w:r>
              <w:rPr>
                <w:b/>
                <w:bCs/>
                <w:i/>
                <w:iCs/>
                <w:color w:val="FF0000"/>
              </w:rPr>
              <w:t>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 xml:space="preserve">ase #1: The IAB-MT has two parent DUs through intra-band </w:t>
            </w:r>
            <w:r>
              <w:rPr>
                <w:b/>
              </w:rPr>
              <w:t>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w:t>
            </w:r>
            <w:r>
              <w:rPr>
                <w:b/>
              </w:rPr>
              <w:t>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Proposal 15: It is necessary to support a MT which cannot perform simultaneous Tx/Tx and Rx/Rx for two par</w:t>
            </w:r>
            <w:r>
              <w:rPr>
                <w:b/>
                <w:i/>
                <w:lang w:eastAsia="ko-KR"/>
              </w:rPr>
              <w:t xml:space="preserve">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w:t>
            </w:r>
            <w:r>
              <w:rPr>
                <w:rFonts w:ascii="Calibri" w:hAnsi="Calibri"/>
                <w:b/>
                <w:color w:val="000000"/>
                <w:kern w:val="24"/>
              </w:rPr>
              <w:t>nt of the per-IAB-DU configuration and multiplexing capability indication are supported in Rel-17. Coordination signaling to exchange the per-link resource configurations and multiplexing capability indications between up to two parent IAB-nodes/donors sho</w:t>
            </w:r>
            <w:r>
              <w:rPr>
                <w:rFonts w:ascii="Calibri" w:hAnsi="Calibri"/>
                <w:b/>
                <w:color w:val="000000"/>
                <w:kern w:val="24"/>
              </w:rPr>
              <w:t>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 xml:space="preserve">Coordinating the Semi-static or cell-common  high layer configuration(such as SSB , CORESET 0 </w:t>
            </w:r>
            <w:r>
              <w:rPr>
                <w:rFonts w:ascii="Calibri" w:hAnsi="Calibri"/>
                <w:b/>
                <w:color w:val="000000"/>
                <w:kern w:val="24"/>
              </w:rPr>
              <w:t>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 xml:space="preserve">From RAN1 perspective, the Semi-static or cell-common high layer configuration from/for different parent nodes are </w:t>
            </w:r>
            <w:r>
              <w:rPr>
                <w:rFonts w:ascii="Calibri" w:hAnsi="Calibri"/>
                <w:b/>
                <w:color w:val="000000"/>
                <w:kern w:val="24"/>
              </w:rPr>
              <w:t>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Proposal 15:</w:t>
            </w:r>
            <w:r>
              <w:rPr>
                <w:rFonts w:ascii="Calibri" w:hAnsi="Calibri"/>
                <w:b/>
                <w:color w:val="000000"/>
                <w:kern w:val="24"/>
              </w:rPr>
              <w:tab/>
              <w:t>When IAB</w:t>
            </w:r>
            <w:r>
              <w:rPr>
                <w:rFonts w:ascii="Calibri" w:hAnsi="Calibri"/>
                <w:b/>
                <w:color w:val="000000"/>
                <w:kern w:val="24"/>
              </w:rPr>
              <w:t xml:space="preserve">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w:t>
            </w:r>
            <w:r>
              <w:rPr>
                <w:rFonts w:ascii="Calibri" w:hAnsi="Calibri"/>
                <w:b/>
                <w:color w:val="000000"/>
                <w:kern w:val="24"/>
              </w:rPr>
              <w:t>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w:t>
            </w:r>
            <w:r>
              <w:rPr>
                <w:rFonts w:ascii="Calibri" w:hAnsi="Calibri"/>
                <w:b/>
                <w:color w:val="000000"/>
                <w:kern w:val="24"/>
              </w:rPr>
              <w:t>or inter-carrier DC, the IAB-donor-CU can be made aware of the IAB-MT’s capability regarding simultaneous transmission and reception on multiple serving cells in a frequency band, configured by the two parent nodes. FFS: How CUs are made aware of the capab</w:t>
            </w:r>
            <w:r>
              <w:rPr>
                <w:rFonts w:ascii="Calibri" w:hAnsi="Calibri"/>
                <w:b/>
                <w:color w:val="000000"/>
                <w:kern w:val="24"/>
              </w:rPr>
              <w:t>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w:t>
            </w:r>
            <w:r>
              <w:rPr>
                <w:rFonts w:ascii="Calibri" w:hAnsi="Calibri"/>
                <w:b/>
                <w:color w:val="000000"/>
                <w:kern w:val="24"/>
              </w:rPr>
              <w:t>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 xml:space="preserve">In intra-donor-DC and inter-donor-DC operations, a parent-node can be made aware of the DU resource </w:t>
            </w:r>
            <w:r>
              <w:rPr>
                <w:rFonts w:ascii="Calibri" w:hAnsi="Calibri"/>
                <w:b/>
                <w:color w:val="000000"/>
                <w:kern w:val="24"/>
              </w:rPr>
              <w:t>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w:t>
            </w:r>
            <w:r>
              <w:rPr>
                <w:rFonts w:ascii="Calibri" w:hAnsi="Calibri"/>
                <w:b/>
                <w:color w:val="000000"/>
                <w:kern w:val="24"/>
              </w:rPr>
              <w:t xml:space="preserve"> in conflict with</w:t>
            </w:r>
            <w:proofErr w:type="gramEnd"/>
            <w:r>
              <w:rPr>
                <w:rFonts w:ascii="Calibri" w:hAnsi="Calibri"/>
                <w:b/>
                <w:color w:val="000000"/>
                <w:kern w:val="24"/>
              </w:rPr>
              <w:t xml:space="preserve">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w:t>
            </w:r>
            <w:r>
              <w:rPr>
                <w:rFonts w:ascii="Calibri" w:hAnsi="Calibri"/>
                <w:b/>
                <w:color w:val="000000"/>
                <w:kern w:val="24"/>
              </w:rPr>
              <w:t>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w:t>
            </w:r>
            <w:r>
              <w:rPr>
                <w:rFonts w:ascii="Calibri" w:hAnsi="Calibri"/>
                <w:b/>
                <w:color w:val="000000"/>
                <w:kern w:val="24"/>
              </w:rPr>
              <w:t>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lastRenderedPageBreak/>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w:t>
      </w:r>
      <w:r>
        <w:rPr>
          <w:rFonts w:asciiTheme="minorHAnsi" w:eastAsia="Times New Roman" w:hAnsiTheme="minorHAnsi" w:cstheme="minorHAnsi"/>
          <w:b/>
          <w:sz w:val="24"/>
          <w:szCs w:val="24"/>
          <w:lang w:val="en-GB"/>
        </w:rPr>
        <w:t xml:space="preserve">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 xml:space="preserve">For intra-donor inter-donor DC scenarios, a parent-node can be made aware of the DU </w:t>
      </w:r>
      <w:r>
        <w:rPr>
          <w:rFonts w:asciiTheme="minorHAnsi" w:hAnsiTheme="minorHAnsi" w:cstheme="minorHAnsi"/>
          <w:b/>
          <w:sz w:val="24"/>
          <w:szCs w:val="24"/>
          <w:lang w:val="en-GB"/>
        </w:rPr>
        <w:t>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w:t>
      </w:r>
      <w:r>
        <w:rPr>
          <w:rFonts w:asciiTheme="minorHAnsi" w:eastAsia="Times New Roman" w:hAnsiTheme="minorHAnsi" w:cstheme="minorHAnsi"/>
          <w:b/>
          <w:sz w:val="24"/>
          <w:szCs w:val="24"/>
          <w:lang w:val="en-GB"/>
        </w:rPr>
        <w:t xml:space="preserve">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w:t>
            </w:r>
            <w:r>
              <w:rPr>
                <w:rFonts w:eastAsia="SimSun"/>
                <w:sz w:val="22"/>
                <w:szCs w:val="22"/>
                <w:lang w:eastAsia="zh-CN"/>
              </w:rPr>
              <w:t>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According to TS 38.473 Rel16, the MIB and </w:t>
            </w:r>
            <w:r>
              <w:rPr>
                <w:rFonts w:ascii="Calibri" w:eastAsia="Malgun Gothic" w:hAnsi="Calibri"/>
                <w:sz w:val="22"/>
                <w:szCs w:val="22"/>
                <w:lang w:eastAsia="ko-KR"/>
              </w:rPr>
              <w:t>SIB1 are only included in “gNB-DU system information” IE from DU to CU but not in the “gNB-CU system information” IE from CU to DU. This means MIB and SIB1 are currently configured by OAM for an IAB-DU cell, and they cannot be overridden by CU for coordina</w:t>
            </w:r>
            <w:r>
              <w:rPr>
                <w:rFonts w:ascii="Calibri" w:eastAsia="Malgun Gothic" w:hAnsi="Calibri"/>
                <w:sz w:val="22"/>
                <w:szCs w:val="22"/>
                <w:lang w:eastAsia="ko-KR"/>
              </w:rPr>
              <w:t>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w:t>
            </w:r>
            <w:r>
              <w:rPr>
                <w:rFonts w:ascii="Calibri" w:eastAsia="Malgun Gothic" w:hAnsi="Calibri"/>
                <w:sz w:val="22"/>
                <w:szCs w:val="22"/>
                <w:lang w:eastAsia="ko-KR"/>
              </w:rPr>
              <w:t>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The intention for exchanging H/S/NA configuration between parent nodes should be clarified. We think the collision </w:t>
            </w:r>
            <w:r>
              <w:rPr>
                <w:rFonts w:ascii="Calibri" w:eastAsiaTheme="minorEastAsia" w:hAnsi="Calibri"/>
                <w:bCs/>
                <w:sz w:val="22"/>
                <w:szCs w:val="22"/>
                <w:lang w:eastAsia="zh-CN"/>
              </w:rPr>
              <w:t>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w:t>
      </w:r>
      <w:r>
        <w:rPr>
          <w:rFonts w:asciiTheme="minorHAnsi" w:hAnsiTheme="minorHAnsi" w:cstheme="minorHAnsi"/>
          <w:b/>
          <w:sz w:val="24"/>
          <w:szCs w:val="24"/>
          <w:lang w:val="en-GB"/>
        </w:rPr>
        <w:t>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w:t>
      </w:r>
      <w:r>
        <w:rPr>
          <w:rFonts w:asciiTheme="minorHAnsi" w:eastAsia="Times New Roman" w:hAnsiTheme="minorHAnsi" w:cstheme="minorHAnsi"/>
          <w:b/>
          <w:sz w:val="24"/>
          <w:szCs w:val="24"/>
          <w:lang w:val="en-GB"/>
        </w:rPr>
        <w:t xml:space="preserve">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49FE7A39" w14:textId="77777777" w:rsidR="001B0E4C"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60AE7F4" w14:textId="61EC5694" w:rsidR="002A2A33" w:rsidRDefault="002A2A33">
            <w:pPr>
              <w:rPr>
                <w:rFonts w:ascii="Calibri" w:eastAsiaTheme="minorEastAsia" w:hAnsi="Calibri" w:hint="eastAsia"/>
                <w:bCs/>
                <w:sz w:val="22"/>
                <w:szCs w:val="22"/>
                <w:lang w:eastAsia="zh-CN"/>
              </w:rPr>
            </w:pPr>
            <w:r>
              <w:rPr>
                <w:rFonts w:ascii="Calibri" w:eastAsiaTheme="minorEastAsia" w:hAnsi="Calibri"/>
                <w:bCs/>
                <w:sz w:val="22"/>
                <w:szCs w:val="22"/>
                <w:lang w:eastAsia="zh-CN"/>
              </w:rPr>
              <w:t xml:space="preserve">Support </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BodyText"/>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w:t>
      </w:r>
      <w:r>
        <w:rPr>
          <w:rFonts w:cs="Times"/>
          <w:bCs/>
          <w:color w:val="000000"/>
          <w:kern w:val="24"/>
          <w:szCs w:val="20"/>
        </w:rPr>
        <w:t>een two parent IAB-nodes:</w:t>
      </w:r>
    </w:p>
    <w:p w14:paraId="636D1907" w14:textId="77777777" w:rsidR="001B0E4C" w:rsidRDefault="002A2A33">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w:t>
      </w:r>
      <w:r>
        <w:rPr>
          <w:rFonts w:ascii="Calibri" w:hAnsi="Calibri"/>
          <w:b/>
          <w:color w:val="000000"/>
          <w:kern w:val="24"/>
        </w:rPr>
        <w:t>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In inter-donor DC scenarios, if the IAB MT does not support simultaneous Tx and Rx on different carriers, it must apply one of the </w:t>
      </w:r>
      <w:r>
        <w:rPr>
          <w:rFonts w:ascii="Calibri" w:hAnsi="Calibri"/>
          <w:b/>
          <w:color w:val="000000"/>
          <w:kern w:val="24"/>
          <w:sz w:val="24"/>
          <w:szCs w:val="24"/>
        </w:rPr>
        <w:t>following alternatives of conflict resolution rules when it 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 xml:space="preserve">Alt. 1: If the dual-connected IAB-node is not capable of </w:t>
      </w:r>
      <w:r>
        <w:rPr>
          <w:rFonts w:ascii="Calibri" w:hAnsi="Calibri"/>
          <w:b/>
          <w:color w:val="000000"/>
          <w:kern w:val="24"/>
          <w:sz w:val="24"/>
          <w:szCs w:val="24"/>
        </w:rPr>
        <w:t>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w:t>
      </w:r>
      <w:r>
        <w:rPr>
          <w:rFonts w:ascii="Calibri" w:hAnsi="Calibri"/>
          <w:b/>
          <w:color w:val="000000"/>
          <w:kern w:val="24"/>
          <w:sz w:val="24"/>
          <w:szCs w:val="24"/>
        </w:rPr>
        <w:t xml:space="preserve"> perform DL reception than UL transmission.</w:t>
      </w:r>
    </w:p>
    <w:p w14:paraId="59A5226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w:t>
      </w:r>
      <w:r>
        <w:rPr>
          <w:rFonts w:ascii="Calibri" w:hAnsi="Calibri"/>
          <w:b/>
          <w:color w:val="000000"/>
          <w:kern w:val="24"/>
          <w:sz w:val="24"/>
          <w:szCs w:val="24"/>
        </w:rPr>
        <w:t>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sz w:val="22"/>
                <w:szCs w:val="22"/>
                <w:lang w:eastAsia="ko-KR"/>
              </w:rPr>
              <w:t>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w:t>
            </w:r>
            <w:r>
              <w:rPr>
                <w:rFonts w:ascii="Calibri" w:eastAsia="Malgun Gothic" w:hAnsi="Calibri"/>
                <w:bCs/>
                <w:sz w:val="22"/>
                <w:szCs w:val="22"/>
                <w:lang w:eastAsia="ko-KR"/>
              </w:rPr>
              <w:t>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Unde</w:t>
            </w:r>
            <w:r>
              <w:rPr>
                <w:rFonts w:ascii="Calibri" w:eastAsia="Malgun Gothic" w:hAnsi="Calibri"/>
                <w:b/>
                <w:bCs/>
                <w:sz w:val="22"/>
                <w:szCs w:val="22"/>
                <w:lang w:eastAsia="ko-KR"/>
              </w:rPr>
              <w:t xml:space="preserve">r above assumption, Alt1 to exclude semi-static flexible symbols in inter-donor DC can be too restrictive. </w:t>
            </w:r>
            <w:proofErr w:type="gramStart"/>
            <w:r>
              <w:rPr>
                <w:rFonts w:ascii="Calibri" w:eastAsia="Malgun Gothic" w:hAnsi="Calibri"/>
                <w:b/>
                <w:bCs/>
                <w:sz w:val="22"/>
                <w:szCs w:val="22"/>
                <w:lang w:eastAsia="ko-KR"/>
              </w:rPr>
              <w:t>It can be seen that if</w:t>
            </w:r>
            <w:proofErr w:type="gramEnd"/>
            <w:r>
              <w:rPr>
                <w:rFonts w:ascii="Calibri" w:eastAsia="Malgun Gothic" w:hAnsi="Calibri"/>
                <w:b/>
                <w:bCs/>
                <w:sz w:val="22"/>
                <w:szCs w:val="22"/>
                <w:lang w:eastAsia="ko-KR"/>
              </w:rPr>
              <w:t xml:space="preserve"> proposal 3.3.1 on inter-donor message coordination can be agreed, the agreement on “not expect to receive conflicting DCI2_0s </w:t>
            </w:r>
            <w:r>
              <w:rPr>
                <w:rFonts w:ascii="Calibri" w:eastAsia="Malgun Gothic" w:hAnsi="Calibri"/>
                <w:b/>
                <w:bCs/>
                <w:sz w:val="22"/>
                <w:szCs w:val="22"/>
                <w:lang w:eastAsia="ko-KR"/>
              </w:rPr>
              <w:t xml:space="preserve">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w:t>
            </w:r>
            <w:r>
              <w:rPr>
                <w:rFonts w:ascii="Calibri" w:eastAsia="Malgun Gothic" w:hAnsi="Calibri"/>
                <w:b/>
                <w:bCs/>
                <w:sz w:val="22"/>
                <w:szCs w:val="22"/>
                <w:lang w:eastAsia="ko-KR"/>
              </w:rPr>
              <w:t xml:space="preserve">symbol at one parent is indicated as NA-flexible at another parent node. With message exchange on H/S/NA and D/U/F </w:t>
            </w:r>
            <w:r>
              <w:rPr>
                <w:rFonts w:ascii="Calibri" w:eastAsia="Malgun Gothic" w:hAnsi="Calibri"/>
                <w:b/>
                <w:bCs/>
                <w:sz w:val="22"/>
                <w:szCs w:val="22"/>
                <w:lang w:eastAsia="ko-KR"/>
              </w:rPr>
              <w:lastRenderedPageBreak/>
              <w:t xml:space="preserve">configuration between two parent nodes via Donor CUs, each parent may just override semi-static H/S-flexible symbols to DL/UL via DCI2_0. In </w:t>
            </w:r>
            <w:r>
              <w:rPr>
                <w:rFonts w:ascii="Calibri" w:eastAsia="Malgun Gothic" w:hAnsi="Calibri"/>
                <w:b/>
                <w:bCs/>
                <w:sz w:val="22"/>
                <w:szCs w:val="22"/>
                <w:lang w:eastAsia="ko-KR"/>
              </w:rPr>
              <w:t xml:space="preserve">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w:t>
            </w:r>
            <w:r>
              <w:rPr>
                <w:rFonts w:cs="Times"/>
                <w:bCs/>
                <w:color w:val="000000"/>
                <w:kern w:val="24"/>
              </w:rPr>
              <w:t>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w:t>
            </w:r>
            <w:r>
              <w:rPr>
                <w:rFonts w:cs="Times"/>
                <w:bCs/>
                <w:color w:val="000000"/>
                <w:kern w:val="24"/>
              </w:rPr>
              <w:t>de</w:t>
            </w:r>
            <w:proofErr w:type="gramEnd"/>
            <w:r>
              <w:rPr>
                <w:rFonts w:cs="Times"/>
                <w:bCs/>
                <w:color w:val="000000"/>
                <w:kern w:val="24"/>
              </w:rPr>
              <w:t>;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 xml:space="preserve">Hence for alt.1, the wording should be “if the IAB MT does not support simultaneous Tx and Rx on different carriers, it does not </w:t>
            </w:r>
            <w:r>
              <w:rPr>
                <w:rFonts w:cs="Times"/>
                <w:bCs/>
                <w:color w:val="000000"/>
                <w:kern w:val="24"/>
              </w:rPr>
              <w:t>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share similar view with QC that if the inter-donor coordination is allowed, it is possible avoid the in</w:t>
            </w:r>
            <w:r>
              <w:rPr>
                <w:rFonts w:ascii="Calibri" w:eastAsiaTheme="minorEastAsia" w:hAnsi="Calibri"/>
                <w:b/>
                <w:bCs/>
                <w:sz w:val="22"/>
                <w:szCs w:val="22"/>
                <w:lang w:eastAsia="zh-CN"/>
              </w:rPr>
              <w:t xml:space="preserve">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xml:space="preserve">: Select one of the following alternatives to handle potential indication conflict of symbols configured as semi-static flexible by one or both parent nodes in inter-donor DC scenarios </w:t>
      </w:r>
      <w:r>
        <w:rPr>
          <w:rFonts w:ascii="Calibri" w:hAnsi="Calibri"/>
          <w:b/>
          <w:color w:val="000000"/>
          <w:kern w:val="24"/>
        </w:rPr>
        <w:t>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w:t>
      </w:r>
      <w:r>
        <w:rPr>
          <w:rFonts w:ascii="Calibri" w:hAnsi="Calibri"/>
          <w:b/>
          <w:color w:val="000000"/>
          <w:kern w:val="24"/>
          <w:sz w:val="24"/>
          <w:szCs w:val="24"/>
        </w:rPr>
        <w:t>mi-static flexible symbols.</w:t>
      </w:r>
    </w:p>
    <w:p w14:paraId="174D4C7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Comments</w:t>
            </w:r>
            <w:r>
              <w:rPr>
                <w:rFonts w:ascii="Calibri" w:eastAsia="Calibri" w:hAnsi="Calibri"/>
                <w:b/>
                <w:bCs/>
                <w:sz w:val="22"/>
                <w:szCs w:val="22"/>
              </w:rPr>
              <w:t xml:space="preserve">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49D4E86" w14:textId="7FE7569C" w:rsidR="002A2A33" w:rsidRDefault="002A2A33">
            <w:pPr>
              <w:rPr>
                <w:rFonts w:ascii="Calibri" w:eastAsia="SimSun" w:hAnsi="Calibri" w:hint="eastAsia"/>
                <w:sz w:val="22"/>
                <w:szCs w:val="22"/>
                <w:lang w:eastAsia="zh-CN"/>
              </w:rPr>
            </w:pPr>
            <w:r>
              <w:rPr>
                <w:rFonts w:ascii="Calibri" w:eastAsia="SimSun" w:hAnsi="Calibri"/>
                <w:sz w:val="22"/>
                <w:szCs w:val="22"/>
                <w:lang w:eastAsia="zh-CN"/>
              </w:rPr>
              <w:t>Support. Alt 1 is preferred.</w:t>
            </w:r>
          </w:p>
        </w:tc>
      </w:tr>
    </w:tbl>
    <w:p w14:paraId="0C307081" w14:textId="77777777" w:rsidR="001B0E4C" w:rsidRDefault="001B0E4C">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xml:space="preserve">: For an IAB-MT with multiple serving cells (including the case </w:t>
      </w:r>
      <w:r>
        <w:rPr>
          <w:rFonts w:ascii="Calibri" w:eastAsia="Calibri" w:hAnsi="Calibri"/>
          <w:b/>
          <w:color w:val="000000"/>
          <w:kern w:val="24"/>
          <w:sz w:val="22"/>
          <w:szCs w:val="22"/>
        </w:rPr>
        <w:t>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 xml:space="preserve">The RAN1-105e </w:t>
      </w:r>
      <w:r>
        <w:rPr>
          <w:rFonts w:ascii="Calibri" w:eastAsia="Calibri" w:hAnsi="Calibri"/>
          <w:b/>
          <w:color w:val="000000"/>
          <w:kern w:val="24"/>
          <w:sz w:val="22"/>
          <w:szCs w:val="22"/>
        </w:rPr>
        <w:t>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t>Alt. 1: “For an IAB-MT with multiple serving cells (including the case with two parent nodes), a per-cell IAB-DU soft resource i</w:t>
      </w:r>
      <w:r>
        <w:rPr>
          <w:b/>
          <w:bCs/>
        </w:rPr>
        <w:t xml:space="preserve">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w:t>
      </w:r>
      <w:r>
        <w:rPr>
          <w:b/>
          <w:bCs/>
          <w:color w:val="FF0000"/>
        </w:rPr>
        <w: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w:t>
      </w:r>
      <w:r>
        <w:rPr>
          <w:rFonts w:ascii="Calibri" w:eastAsia="Calibri" w:hAnsi="Calibri"/>
          <w:b/>
          <w:color w:val="000000"/>
          <w:kern w:val="24"/>
          <w:sz w:val="22"/>
          <w:szCs w:val="22"/>
        </w:rPr>
        <w:t xml:space="preserve">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w:t>
      </w:r>
      <w:r>
        <w:rPr>
          <w:b/>
          <w:bCs/>
          <w:color w:val="FF0000"/>
          <w:lang w:eastAsia="zh-CN"/>
        </w:rPr>
        <w:t>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 xml:space="preserve">According to current </w:t>
            </w:r>
            <w:r>
              <w:rPr>
                <w:rFonts w:eastAsiaTheme="minorEastAsia"/>
                <w:sz w:val="22"/>
                <w:szCs w:val="22"/>
                <w:lang w:eastAsia="zh-CN"/>
              </w:rPr>
              <w:t>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1:a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w:t>
            </w:r>
            <w:r>
              <w:rPr>
                <w:rFonts w:eastAsiaTheme="minorEastAsia"/>
                <w:sz w:val="22"/>
                <w:szCs w:val="22"/>
                <w:lang w:eastAsia="zh-CN"/>
              </w:rPr>
              <w:t xml:space="preserve">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3:a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When the IAB-MT has multiple serving cells belonging to </w:t>
            </w:r>
            <w:r>
              <w:rPr>
                <w:rFonts w:ascii="Calibri" w:eastAsia="Malgun Gothic" w:hAnsi="Calibri"/>
                <w:bCs/>
                <w:sz w:val="22"/>
                <w:szCs w:val="22"/>
                <w:lang w:eastAsia="ko-KR"/>
              </w:rPr>
              <w:t>one parent node, it is not necessary to receive soft resource availability indication from all serving cells. When the availability of soft resource is received from one serving cell belonging to the same CG, it indicates availability for serving cells bel</w:t>
            </w:r>
            <w:r>
              <w:rPr>
                <w:rFonts w:ascii="Calibri" w:eastAsia="Malgun Gothic" w:hAnsi="Calibri"/>
                <w:bCs/>
                <w:sz w:val="22"/>
                <w:szCs w:val="22"/>
                <w:lang w:eastAsia="ko-KR"/>
              </w:rPr>
              <w:t>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lastRenderedPageBreak/>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think that both Alt1 and Alt2 intend to clarify the potential ambiguity in the RAN1</w:t>
            </w:r>
            <w:r>
              <w:rPr>
                <w:rFonts w:ascii="Calibri" w:eastAsia="Malgun Gothic" w:hAnsi="Calibri"/>
                <w:sz w:val="22"/>
                <w:szCs w:val="22"/>
                <w:lang w:eastAsia="ko-KR"/>
              </w:rPr>
              <w:t>-105e agreement, wherein the availability of an IAB-DU soft resource should be determined with respect to all serving cells but in RAN1-105 the phrase “with respect to all serving cells” may be miss-interpreted as only for implicit method. Note that the DC</w:t>
            </w:r>
            <w:r>
              <w:rPr>
                <w:rFonts w:ascii="Calibri" w:eastAsia="Malgun Gothic" w:hAnsi="Calibri"/>
                <w:sz w:val="22"/>
                <w:szCs w:val="22"/>
                <w:lang w:eastAsia="ko-KR"/>
              </w:rPr>
              <w:t xml:space="preserve">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w:t>
            </w:r>
            <w:r>
              <w:rPr>
                <w:rFonts w:ascii="Calibri" w:eastAsia="Malgun Gothic" w:hAnsi="Calibri"/>
                <w:sz w:val="22"/>
                <w:szCs w:val="22"/>
                <w:lang w:eastAsia="ko-KR"/>
              </w:rPr>
              <w:t xml:space="preserve">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w:t>
            </w:r>
            <w:r>
              <w:rPr>
                <w:strike/>
              </w:rPr>
              <w:t>ined as available with respect to all serving cells</w:t>
            </w:r>
            <w:r>
              <w:t xml:space="preserve"> </w:t>
            </w:r>
            <w:r>
              <w:rPr>
                <w:color w:val="FF0000"/>
              </w:rPr>
              <w:t>can be determined as available with respect to all serving cells of IAB-MT, where the determination with respect to a serving cell can be done either by explicit indication via DCI2_5 or implicit determin</w:t>
            </w:r>
            <w:r>
              <w:rPr>
                <w:color w:val="FF0000"/>
              </w:rPr>
              <w:t xml:space="preserve">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w:t>
            </w:r>
            <w:r>
              <w:rPr>
                <w:rFonts w:ascii="Calibri" w:eastAsia="Malgun Gothic" w:hAnsi="Calibri"/>
                <w:sz w:val="22"/>
                <w:szCs w:val="22"/>
                <w:lang w:eastAsia="ko-KR"/>
              </w:rPr>
              <w:t>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because it is not clear to us the </w:t>
            </w:r>
            <w:r>
              <w:rPr>
                <w:rFonts w:ascii="Calibri" w:eastAsia="Malgun Gothic" w:hAnsi="Calibri"/>
                <w:sz w:val="22"/>
                <w:szCs w:val="22"/>
                <w:lang w:eastAsia="ko-KR"/>
              </w:rPr>
              <w:t>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w:t>
            </w:r>
            <w:r>
              <w:rPr>
                <w:rFonts w:ascii="Calibri" w:eastAsiaTheme="minorEastAsia" w:hAnsi="Calibri"/>
                <w:bCs/>
                <w:sz w:val="22"/>
                <w:szCs w:val="22"/>
                <w:lang w:eastAsia="zh-CN"/>
              </w:rPr>
              <w:t>dination afterward, the mechanism cannot be valid.</w:t>
            </w:r>
          </w:p>
        </w:tc>
      </w:tr>
    </w:tbl>
    <w:p w14:paraId="4C0EA1A6" w14:textId="77777777" w:rsidR="001B0E4C" w:rsidRDefault="001B0E4C"/>
    <w:p w14:paraId="685C4A2C" w14:textId="77777777" w:rsidR="001B0E4C" w:rsidRDefault="002A2A33">
      <w:pPr>
        <w:pStyle w:val="BodyText"/>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BodyText"/>
        <w:spacing w:after="0"/>
        <w:rPr>
          <w:rFonts w:cs="Times"/>
          <w:bCs/>
          <w:color w:val="000000"/>
          <w:kern w:val="24"/>
          <w:szCs w:val="20"/>
        </w:rPr>
      </w:pPr>
      <w:r>
        <w:rPr>
          <w:rFonts w:cs="Times"/>
          <w:bCs/>
          <w:color w:val="000000"/>
          <w:kern w:val="24"/>
          <w:szCs w:val="20"/>
        </w:rPr>
        <w:t xml:space="preserve">The IAB-donor-CU can be made aware of the IAB-MT’s capability regarding simultaneous transmission and reception on multiple serving cells in a </w:t>
      </w:r>
      <w:r>
        <w:rPr>
          <w:rFonts w:cs="Times"/>
          <w:bCs/>
          <w:color w:val="000000"/>
          <w:kern w:val="24"/>
          <w:szCs w:val="20"/>
        </w:rPr>
        <w:t>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The motivation to introduce per-child-link resource configuration is not clear. To our understanding, if the main motivation is to coordinate the resources between two parent nodes, this </w:t>
            </w:r>
            <w:r>
              <w:rPr>
                <w:rFonts w:ascii="Calibri" w:eastAsiaTheme="minorEastAsia" w:hAnsi="Calibri"/>
                <w:bCs/>
                <w:sz w:val="22"/>
                <w:szCs w:val="22"/>
                <w:lang w:eastAsia="zh-CN"/>
              </w:rPr>
              <w:t>per-child link resource configuration scheme does not work since only the parent nodes can get the resource partitioning from these configurations. There is no way for the IAB node to know the resource partitioning between parent nodes. To achieve this, it</w:t>
            </w:r>
            <w:r>
              <w:rPr>
                <w:rFonts w:ascii="Calibri" w:eastAsiaTheme="minorEastAsia" w:hAnsi="Calibri"/>
                <w:bCs/>
                <w:sz w:val="22"/>
                <w:szCs w:val="22"/>
                <w:lang w:eastAsia="zh-CN"/>
              </w:rPr>
              <w:t xml:space="preserve"> will be beneficial to provide two DU configurations to the child nodes. Basically, each of the configuration is associated to one parent node. In this case, both the parent nodes and child node can be aware of the per-backhaul link configuration. Therefor</w:t>
            </w:r>
            <w:r>
              <w:rPr>
                <w:rFonts w:ascii="Calibri" w:eastAsiaTheme="minorEastAsia" w:hAnsi="Calibri"/>
                <w:bCs/>
                <w:sz w:val="22"/>
                <w:szCs w:val="22"/>
                <w:lang w:eastAsia="zh-CN"/>
              </w:rPr>
              <w:t>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Heading1"/>
      </w:pPr>
      <w:r>
        <w:t>Summary</w:t>
      </w:r>
    </w:p>
    <w:p w14:paraId="5BDF4D5D"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071"/>
    <w:rsid w:val="00CF03AA"/>
    <w:rsid w:val="00CF0589"/>
    <w:rsid w:val="00CF1031"/>
    <w:rsid w:val="00CF10C7"/>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F3BC8-DA03-4692-85FD-F1E7597BECDC}">
  <ds:schemaRefs>
    <ds:schemaRef ds:uri="http://schemas.openxmlformats.org/officeDocument/2006/bibliography"/>
  </ds:schemaRefs>
</ds:datastoreItem>
</file>

<file path=customXml/itemProps2.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15275</Words>
  <Characters>87071</Characters>
  <Application>Microsoft Office Word</Application>
  <DocSecurity>0</DocSecurity>
  <Lines>725</Lines>
  <Paragraphs>204</Paragraphs>
  <ScaleCrop>false</ScaleCrop>
  <Company>AT&amp;T</Company>
  <LinksUpToDate>false</LinksUpToDate>
  <CharactersWithSpaces>102142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Deepak P M</cp:lastModifiedBy>
  <cp:revision>2</cp:revision>
  <cp:lastPrinted>2016-02-23T10:51:00Z</cp:lastPrinted>
  <dcterms:created xsi:type="dcterms:W3CDTF">2021-08-19T11:24:00Z</dcterms:created>
  <dcterms:modified xsi:type="dcterms:W3CDTF">2021-08-19T11:24:00Z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