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TW"/>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N3=3,4,..,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lastRenderedPageBreak/>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So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m:t>
              </m:r>
              <m:r>
                <w:rPr>
                  <w:rFonts w:ascii="Cambria Math" w:eastAsiaTheme="minorEastAsia" w:hAnsi="Cambria Math"/>
                  <w:sz w:val="22"/>
                  <w:szCs w:val="22"/>
                  <w:lang w:eastAsia="zh-CN"/>
                </w:rPr>
                <m:t>&gt;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w:t>
            </w:r>
            <w:bookmarkStart w:id="3" w:name="_GoBack"/>
            <w:bookmarkEnd w:id="3"/>
            <w:r w:rsidR="00AD0C94">
              <w:rPr>
                <w:rFonts w:ascii="Times New Roman" w:eastAsiaTheme="minorEastAsia" w:hAnsi="Times New Roman"/>
                <w:sz w:val="22"/>
                <w:szCs w:val="22"/>
                <w:lang w:eastAsia="zh-CN"/>
              </w:rPr>
              <w:t xml:space="preserve"> restrictions.</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0F2F615E" w14:textId="77777777"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lastRenderedPageBreak/>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ListParagraph"/>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SimSun" w:hAnsi="Times New Roman"/>
                <w:b/>
                <w:i/>
                <w:sz w:val="22"/>
                <w:szCs w:val="22"/>
                <w:lang w:val="en-US" w:eastAsia="zh-CN"/>
              </w:rPr>
              <w:t>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w:t>
            </w:r>
            <w:r>
              <w:rPr>
                <w:rFonts w:ascii="Times New Roman" w:hAnsi="Times New Roman"/>
                <w:sz w:val="22"/>
                <w:szCs w:val="22"/>
              </w:rPr>
              <w:lastRenderedPageBreak/>
              <w:t xml:space="preserve">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lastRenderedPageBreak/>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5D0791FB"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lastRenderedPageBreak/>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17C2D8D2"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2904A0C5"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1986D0D"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3F9C4A2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lastRenderedPageBreak/>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lastRenderedPageBreak/>
              <w:t>It seems Alt 1-1 stands for the majority view. We suggest to agree on this Alt, and clarify the subbullet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lastRenderedPageBreak/>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001B06FE"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4" w:name="OLE_LINK11"/>
      <w:bookmarkStart w:id="5"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4"/>
      <w:bookmarkEnd w:id="5"/>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049DBB03" w14:textId="77777777"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321C2321" w14:textId="77777777"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performance gain with Wf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Caption"/>
        <w:spacing w:beforeLines="50" w:after="0"/>
        <w:jc w:val="center"/>
        <w:rPr>
          <w:sz w:val="22"/>
          <w:szCs w:val="22"/>
          <w:lang w:val="en-US"/>
        </w:rPr>
      </w:pPr>
      <w:r w:rsidRPr="005036F6">
        <w:rPr>
          <w:sz w:val="22"/>
          <w:szCs w:val="22"/>
        </w:rPr>
        <w:lastRenderedPageBreak/>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Plus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432278"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lastRenderedPageBreak/>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r w:rsidR="00981658">
              <w:rPr>
                <w:rFonts w:ascii="Times New Roman" w:eastAsia="SimSun" w:hAnsi="Times New Roman"/>
                <w:sz w:val="22"/>
                <w:szCs w:val="22"/>
              </w:rPr>
              <w:t xml:space="preserve">to agree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ListParagraph"/>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Pr>
                <w:rFonts w:ascii="Times New Roman" w:hAnsi="Times New Roman"/>
                <w:sz w:val="22"/>
                <w:szCs w:val="22"/>
              </w:rPr>
              <w:t xml:space="preserve"> can be considered for Rel-17 CB.</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52DA3CB5"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06C7380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6794318A"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lastRenderedPageBreak/>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Alt 2: CMRs for Single-TRP measurement hypotheses</w:t>
      </w:r>
    </w:p>
    <w:p w14:paraId="2D13E2B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lastRenderedPageBreak/>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E6B59B1"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Lenovo/MotM</w:t>
            </w:r>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2CB07924"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432278"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43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43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43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bl>
    <w:p w14:paraId="052914E5"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70632E24"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Slightly prefer Alt.1. But also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lastRenderedPageBreak/>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287F74">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Futurewei</w:t>
            </w:r>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FFS details </w:t>
      </w:r>
    </w:p>
    <w:p w14:paraId="3249DF34"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w:t>
            </w:r>
            <w:r>
              <w:rPr>
                <w:rFonts w:ascii="Times New Roman" w:hAnsi="Times New Roman"/>
                <w:sz w:val="22"/>
                <w:szCs w:val="22"/>
              </w:rPr>
              <w:lastRenderedPageBreak/>
              <w:t xml:space="preserve">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bl>
    <w:p w14:paraId="008D9945"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lastRenderedPageBreak/>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353EB28C"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7EDF1982"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2C093DE7" w14:textId="77777777" w:rsidR="00EF7A17" w:rsidRPr="00EF7A17" w:rsidRDefault="00EF7A17" w:rsidP="00EF7A17">
            <w:pPr>
              <w:pStyle w:val="ListParagraph"/>
              <w:numPr>
                <w:ilvl w:val="1"/>
                <w:numId w:val="173"/>
              </w:numPr>
              <w:tabs>
                <w:tab w:val="num" w:pos="576"/>
              </w:tabs>
              <w:autoSpaceDE w:val="0"/>
              <w:autoSpaceDN w:val="0"/>
              <w:adjustRightInd w:val="0"/>
              <w:snapToGrid w:val="0"/>
              <w:ind w:leftChars="0"/>
              <w:jc w:val="both"/>
              <w:rP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lastRenderedPageBreak/>
        <w:t>TBD</w:t>
      </w:r>
    </w:p>
    <w:p w14:paraId="6EB3CB2E"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7"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lastRenderedPageBreak/>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lastRenderedPageBreak/>
              <w:t>The set of N candidate vectors of Wf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69449788"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5C56917C"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76C20B72"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623E9D6A"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1729CE31"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lastRenderedPageBreak/>
              <w:t>Proposal 13: Support parameter combinations of {K1, beta, M}, and total number of different combinations should not exceed Rel-16 eType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2FF9E7D1"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213EFC8B"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086B1C25"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10235B09" w14:textId="77777777" w:rsidR="001E78E8" w:rsidRPr="009A03F2" w:rsidRDefault="0043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432278"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lastRenderedPageBreak/>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43227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UE capable of supporting Mv&gt;1 (agreement from RAN1#104bis-e) shall report whether it support Mv=2 for P &gt; 12 CSI-RS ports</w:t>
            </w:r>
          </w:p>
          <w:p w14:paraId="36F7B732"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7C1DA11"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432278"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3B11AF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6FF3D1E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448A9B3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514524E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03308A66"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30.5pt;mso-width-percent:0;mso-height-percent:0;mso-width-percent:0;mso-height-percent:0" o:ole="">
                  <v:imagedata r:id="rId11" o:title=""/>
                </v:shape>
                <o:OLEObject Type="Embed" ProgID="Equation.3" ShapeID="_x0000_i1025" DrawAspect="Content" ObjectID="_1690579098"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lastRenderedPageBreak/>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43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432278"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lastRenderedPageBreak/>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43227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43227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lastRenderedPageBreak/>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#4: Support different CodebookConfigs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lastRenderedPageBreak/>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is for the purpose of UCI payload construction as well as CSI omission for CSI part 2.</w:t>
            </w:r>
          </w:p>
          <w:p w14:paraId="09D2D142"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FE59" w14:textId="77777777" w:rsidR="00432278" w:rsidRDefault="00432278">
      <w:r>
        <w:separator/>
      </w:r>
    </w:p>
  </w:endnote>
  <w:endnote w:type="continuationSeparator" w:id="0">
    <w:p w14:paraId="5B3B6BEC" w14:textId="77777777" w:rsidR="00432278" w:rsidRDefault="0043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A31E" w14:textId="77777777" w:rsidR="00432278" w:rsidRDefault="00432278">
      <w:r>
        <w:separator/>
      </w:r>
    </w:p>
  </w:footnote>
  <w:footnote w:type="continuationSeparator" w:id="0">
    <w:p w14:paraId="018F0CE1" w14:textId="77777777" w:rsidR="00432278" w:rsidRDefault="0043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2114551568"/>
        <c:axId val="2114547760"/>
        <c:extLst xmlns:c16r2="http://schemas.microsoft.com/office/drawing/2015/06/chart">
          <c:ext xmlns:c15="http://schemas.microsoft.com/office/drawing/2012/chart" uri="{02D57815-91ED-43cb-92C2-25804820EDAC}">
            <c15:filteredScatterSeries>
              <c15:ser>
                <c:idx val="15"/>
                <c:order val="0"/>
                <c:tx>
                  <c:v>M = 2, N = 2, consecutive, tap 0</c:v>
                </c:tx>
                <c:xVal>
                  <c:numRef>
                    <c:extLst xmlns:c16r2="http://schemas.microsoft.com/office/drawing/2015/06/char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xmlns:c16r2="http://schemas.microsoft.com/office/drawing/2015/06/char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xmlns:c16r2="http://schemas.microsoft.com/office/drawing/2015/06/char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244-4B1B-92D8-82A66DF2999D}"/>
                  </c:ext>
                </c:extLst>
              </c15:ser>
            </c15:filteredScatterSeries>
          </c:ext>
        </c:extLst>
      </c:scatterChart>
      <c:valAx>
        <c:axId val="2114551568"/>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547760"/>
        <c:crosses val="autoZero"/>
        <c:crossBetween val="midCat"/>
      </c:valAx>
      <c:valAx>
        <c:axId val="211454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551568"/>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013F-FDE1-49F9-983D-745A4B38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26260</Words>
  <Characters>149686</Characters>
  <Application>Microsoft Office Word</Application>
  <DocSecurity>0</DocSecurity>
  <Lines>1247</Lines>
  <Paragraphs>351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2021-08-15T11:09:00Z</dcterms:created>
  <dcterms:modified xsi:type="dcterms:W3CDTF">2021-08-15T17:42:00Z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