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w:t>
      </w:r>
      <w:r w:rsidRPr="005036F6">
        <w:rPr>
          <w:rFonts w:ascii="Times New Roman" w:eastAsia="SimSun" w:hAnsi="Times New Roman"/>
          <w:sz w:val="22"/>
          <w:szCs w:val="22"/>
          <w:lang w:eastAsia="zh-CN"/>
        </w:rPr>
        <w:lastRenderedPageBreak/>
        <w:t xml:space="preserve">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8"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For Rel-17 PS codebook, following values of R are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lastRenderedPageBreak/>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bl>
    <w:p w14:paraId="6A6A0AE6" w14:textId="77777777" w:rsidR="0039552D" w:rsidRPr="00E34745"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3ED28293" w14:textId="49DE0FFC"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dditionally the bitmap for layer i alone can be absent, only if reported real number of NZC for layer i is equal to corresponding maximal number of NZC for layer i.</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lastRenderedPageBreak/>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405FE3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54F6C10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5C61E7FE"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330DED2A"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0 : Reporting of the position, [il*, fl*],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1-1: Reporting of the position, [il*, fl*], of the strongest coefficient of layer l, using ceil(log2(K1*Mv)) or ceil(log2(K1))+ceil(log2(Mv))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Alt 1-2: Reporting of the position, [il*, fl*], of the strongest coefficient of layer l, using ceil(log2(K1*Mv)) or ceil(log2(K1))+ceil(log2(Mv)) bits, and shifting of the strongest coefficient to position fl*=0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FFS whether shifting/remapping the strongest coefficient to position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w:t>
            </w:r>
            <w:r>
              <w:rPr>
                <w:rFonts w:ascii="Times New Roman" w:hAnsi="Times New Roman"/>
                <w:sz w:val="22"/>
                <w:szCs w:val="22"/>
              </w:rPr>
              <w:lastRenderedPageBreak/>
              <w:t xml:space="preserve">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At least for rank 1/2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71A6285" w14:textId="7318DA3C"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lastRenderedPageBreak/>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w:t>
      </w:r>
      <w:r w:rsidRPr="005036F6">
        <w:rPr>
          <w:rFonts w:ascii="Times New Roman" w:eastAsia="SimSun" w:hAnsi="Times New Roman"/>
          <w:sz w:val="22"/>
          <w:szCs w:val="22"/>
          <w:lang w:eastAsia="zh-CN"/>
        </w:rPr>
        <w:lastRenderedPageBreak/>
        <w:t>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lastRenderedPageBreak/>
              <w:t>M</w:t>
            </w:r>
            <w:r w:rsidRPr="009A03F2">
              <w:rPr>
                <w:rFonts w:ascii="Times New Roman" w:hAnsi="Times New Roman"/>
                <w:bCs/>
                <w:sz w:val="22"/>
                <w:szCs w:val="22"/>
              </w:rPr>
              <w:t>υ=1,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B7608D"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lastRenderedPageBreak/>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lastRenderedPageBreak/>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w:t>
      </w:r>
      <w:r w:rsidRPr="0014787F">
        <w:rPr>
          <w:rFonts w:ascii="Times New Roman" w:eastAsia="Malgun Gothic" w:hAnsi="Times New Roman"/>
          <w:iCs/>
          <w:sz w:val="22"/>
          <w:szCs w:val="22"/>
        </w:rPr>
        <w:lastRenderedPageBreak/>
        <w:t xml:space="preserve">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lastRenderedPageBreak/>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Lenovo/MotM</w:t>
            </w:r>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r w:rsidRPr="004A032A">
              <w:rPr>
                <w:rFonts w:ascii="Times New Roman" w:eastAsia="SimSun" w:hAnsi="Times New Roman"/>
                <w:sz w:val="22"/>
                <w:szCs w:val="22"/>
              </w:rPr>
              <w:t>powerControlOffset</w:t>
            </w:r>
            <w:r>
              <w:rPr>
                <w:rFonts w:ascii="Times New Roman" w:eastAsia="SimSun"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an a CMR be used for both sTRP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B7608D"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Futurewei</w:t>
            </w:r>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B7608D"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B7608D"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B7608D"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(sTRP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Alt1 in Proposal 22-1. In Alt 2, we suggest to remove the “at least not”. Why should we remove the existing RI restriction for sTRP?</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Futurewei</w:t>
            </w:r>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lastRenderedPageBreak/>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Alt1 in proposal 23-2. We agree with MediaTek. If it is left to the UE, we are not sure why it makes sense to introduce this feature. With Alt1, we introduce all theses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6"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lastRenderedPageBreak/>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6"/>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w:t>
            </w:r>
            <w:r w:rsidRPr="009A03F2">
              <w:rPr>
                <w:rFonts w:ascii="Times New Roman" w:eastAsia="MS Mincho" w:hAnsi="Times New Roman"/>
                <w:i/>
                <w:color w:val="000000" w:themeColor="text1"/>
                <w:sz w:val="22"/>
                <w:szCs w:val="22"/>
                <w:lang w:eastAsia="ja-JP"/>
              </w:rPr>
              <w:lastRenderedPageBreak/>
              <w:t xml:space="preserve">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Confirm the working assumption on window design: a layer-common, window-based approach is used to configure the FD basis indices for </w:t>
            </w:r>
            <w:r w:rsidRPr="009A03F2">
              <w:rPr>
                <w:b w:val="0"/>
                <w:i/>
                <w:sz w:val="22"/>
                <w:szCs w:val="22"/>
                <w:lang w:bidi="ar-EG"/>
              </w:rPr>
              <w:lastRenderedPageBreak/>
              <w:t>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lastRenderedPageBreak/>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B7608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B7608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B7608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B7608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B7608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B7608D"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B7608D"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B7608D"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lastRenderedPageBreak/>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B7608D"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lastRenderedPageBreak/>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lastRenderedPageBreak/>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35pt;height:30.55pt;mso-width-percent:0;mso-height-percent:0;mso-width-percent:0;mso-height-percent:0" o:ole="">
                  <v:imagedata r:id="rId10" o:title=""/>
                </v:shape>
                <o:OLEObject Type="Embed" ProgID="Equation.3" ShapeID="_x0000_i1025" DrawAspect="Content" ObjectID="_1690289399" r:id="rId11"/>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lastRenderedPageBreak/>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lastRenderedPageBreak/>
              <w:t>CRI, RI or joint RI, 1 CQI for the first CW should be include into Part1;</w:t>
            </w:r>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lastRenderedPageBreak/>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lastRenderedPageBreak/>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lastRenderedPageBreak/>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B7608D"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B7608D"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B7608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B7608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lastRenderedPageBreak/>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minimal supported value of K</w:t>
            </w:r>
            <w:r w:rsidRPr="009A03F2">
              <w:rPr>
                <w:rStyle w:val="Emphasis"/>
                <w:b w:val="0"/>
                <w:i/>
                <w:sz w:val="22"/>
                <w:szCs w:val="22"/>
                <w:vertAlign w:val="subscript"/>
              </w:rPr>
              <w:t xml:space="preserve">s,max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lastRenderedPageBreak/>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2"/>
      <w:headerReference w:type="default" r:id="rId13"/>
      <w:footerReference w:type="even" r:id="rId14"/>
      <w:footerReference w:type="default" r:id="rId15"/>
      <w:headerReference w:type="first" r:id="rId16"/>
      <w:footerReference w:type="first" r:id="rId1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6B78" w14:textId="77777777" w:rsidR="00B7608D" w:rsidRDefault="00B7608D">
      <w:r>
        <w:separator/>
      </w:r>
    </w:p>
  </w:endnote>
  <w:endnote w:type="continuationSeparator" w:id="0">
    <w:p w14:paraId="6CFBA055" w14:textId="77777777" w:rsidR="00B7608D" w:rsidRDefault="00B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D218" w14:textId="77777777" w:rsidR="00301D60" w:rsidRDefault="00301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3EE3" w14:textId="77777777" w:rsidR="00301D60" w:rsidRDefault="00301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987C" w14:textId="77777777" w:rsidR="00301D60" w:rsidRDefault="0030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6FB7" w14:textId="77777777" w:rsidR="00B7608D" w:rsidRDefault="00B7608D">
      <w:r>
        <w:separator/>
      </w:r>
    </w:p>
  </w:footnote>
  <w:footnote w:type="continuationSeparator" w:id="0">
    <w:p w14:paraId="0EAD310A" w14:textId="77777777" w:rsidR="00B7608D" w:rsidRDefault="00B7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61A" w14:textId="77777777" w:rsidR="00301D60" w:rsidRDefault="0030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A83C" w14:textId="77777777" w:rsidR="00301D60" w:rsidRDefault="00301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F42E" w14:textId="77777777" w:rsidR="00301D60" w:rsidRDefault="0030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cap2"/>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5-e/Docs/R1-2105277.z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FF59-DCA1-441B-B37E-A26ED89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22383</Words>
  <Characters>127588</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2021-08-12T17:46:00Z</dcterms:created>
  <dcterms:modified xsi:type="dcterms:W3CDTF">2021-08-12T23:02:00Z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