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w:t>
      </w:r>
      <w:r w:rsidRPr="005036F6">
        <w:rPr>
          <w:rFonts w:ascii="Times New Roman" w:eastAsia="SimSun" w:hAnsi="Times New Roman"/>
          <w:sz w:val="22"/>
          <w:szCs w:val="22"/>
          <w:lang w:eastAsia="zh-CN"/>
        </w:rPr>
        <w:lastRenderedPageBreak/>
        <w:t xml:space="preserve">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8"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lastRenderedPageBreak/>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dditionally the bitmap for layer i alone can be absent, only if reported real number of NZC for layer i is equal to corresponding maximal number of NZC for layer i.</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405FE3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54F6C10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5C61E7FE"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330DED2A"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0 : Reporting of the position, [il*, fl*],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w:t>
            </w:r>
            <w:r>
              <w:rPr>
                <w:rFonts w:ascii="Times New Roman" w:hAnsi="Times New Roman"/>
                <w:sz w:val="22"/>
                <w:szCs w:val="22"/>
              </w:rPr>
              <w:lastRenderedPageBreak/>
              <w:t xml:space="preserve">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lastRenderedPageBreak/>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w:t>
      </w:r>
      <w:r w:rsidRPr="005036F6">
        <w:rPr>
          <w:rFonts w:ascii="Times New Roman" w:eastAsia="SimSun" w:hAnsi="Times New Roman"/>
          <w:sz w:val="22"/>
          <w:szCs w:val="22"/>
          <w:lang w:eastAsia="zh-CN"/>
        </w:rPr>
        <w:lastRenderedPageBreak/>
        <w:t>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lastRenderedPageBreak/>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301D60"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lastRenderedPageBreak/>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77777777" w:rsidR="00AD5195" w:rsidRDefault="00AD5195"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lastRenderedPageBreak/>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w:t>
      </w:r>
      <w:r w:rsidRPr="0014787F">
        <w:rPr>
          <w:rFonts w:ascii="Times New Roman" w:hAnsi="Times New Roman"/>
          <w:sz w:val="22"/>
          <w:szCs w:val="22"/>
          <w:lang w:eastAsia="ko-KR"/>
        </w:rPr>
        <w:lastRenderedPageBreak/>
        <w:t xml:space="preserve">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Lenovo/MotM</w:t>
            </w:r>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an a CMR be used for both sTRP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301D60"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301D60"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301D60"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(sTRP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 xml:space="preserve">associated with single-TRP/NCJT measurement </w:t>
      </w:r>
      <w:r w:rsidRPr="0014787F">
        <w:rPr>
          <w:rFonts w:ascii="Times New Roman" w:eastAsiaTheme="minorEastAsia" w:hAnsi="Times New Roman"/>
          <w:iCs/>
          <w:kern w:val="2"/>
          <w:sz w:val="22"/>
          <w:szCs w:val="22"/>
          <w:lang w:eastAsia="zh-CN"/>
        </w:rPr>
        <w:lastRenderedPageBreak/>
        <w:t>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lastRenderedPageBreak/>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Alt1 in Proposal 22-1. In Alt 2, we suggest to remove the “at least not”. Why should we remove the existing RI restriction for sTRP?</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w:t>
            </w:r>
            <w:r>
              <w:rPr>
                <w:rFonts w:ascii="Times New Roman" w:eastAsia="SimSun" w:hAnsi="Times New Roman"/>
                <w:sz w:val="22"/>
                <w:szCs w:val="22"/>
              </w:rPr>
              <w:t>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lastRenderedPageBreak/>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lastRenderedPageBreak/>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6"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lastRenderedPageBreak/>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lastRenderedPageBreak/>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lastRenderedPageBreak/>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301D60"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301D60"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301D60"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301D60"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301D60"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301D60"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301D60"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301D60"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lastRenderedPageBreak/>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301D60"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lastRenderedPageBreak/>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lastRenderedPageBreak/>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2pt;height:30.6pt;mso-width-percent:0;mso-height-percent:0;mso-width-percent:0;mso-height-percent:0" o:ole="">
                  <v:imagedata r:id="rId10" o:title=""/>
                </v:shape>
                <o:OLEObject Type="Embed" ProgID="Equation.3" ShapeID="_x0000_i1025" DrawAspect="Content" ObjectID="_1690287091" r:id="rId11"/>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lastRenderedPageBreak/>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lastRenderedPageBreak/>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301D60"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301D60"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lastRenderedPageBreak/>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301D60"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301D60"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lastRenderedPageBreak/>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 xml:space="preserve">Proposal #2: Support Alt 1/2/4 for dynamic updating of CSI measurement associated with a CSI-ReportConfig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w:t>
            </w:r>
            <w:r w:rsidRPr="009A03F2">
              <w:rPr>
                <w:rFonts w:ascii="Times New Roman" w:eastAsiaTheme="minorEastAsia" w:hAnsi="Times New Roman"/>
                <w:i/>
                <w:sz w:val="22"/>
                <w:szCs w:val="22"/>
                <w:lang w:eastAsia="zh-CN"/>
              </w:rPr>
              <w:lastRenderedPageBreak/>
              <w:t>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lastRenderedPageBreak/>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568C" w14:textId="77777777" w:rsidR="005B7FFD" w:rsidRDefault="005B7FFD">
      <w:r>
        <w:separator/>
      </w:r>
    </w:p>
  </w:endnote>
  <w:endnote w:type="continuationSeparator" w:id="0">
    <w:p w14:paraId="2261DBC3" w14:textId="77777777" w:rsidR="005B7FFD" w:rsidRDefault="005B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D218" w14:textId="77777777" w:rsidR="00301D60" w:rsidRDefault="00301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EE3" w14:textId="77777777" w:rsidR="00301D60" w:rsidRDefault="00301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987C" w14:textId="77777777" w:rsidR="00301D60" w:rsidRDefault="0030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93F8" w14:textId="77777777" w:rsidR="005B7FFD" w:rsidRDefault="005B7FFD">
      <w:r>
        <w:separator/>
      </w:r>
    </w:p>
  </w:footnote>
  <w:footnote w:type="continuationSeparator" w:id="0">
    <w:p w14:paraId="7D73C84D" w14:textId="77777777" w:rsidR="005B7FFD" w:rsidRDefault="005B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61A" w14:textId="77777777" w:rsidR="00301D60" w:rsidRDefault="0030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A83C" w14:textId="77777777" w:rsidR="00301D60" w:rsidRDefault="00301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F42E" w14:textId="77777777" w:rsidR="00301D60" w:rsidRDefault="0030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B00"/>
    <w:rsid w:val="00522C83"/>
    <w:rsid w:val="00522DD6"/>
    <w:rsid w:val="00522EAC"/>
    <w:rsid w:val="0052329C"/>
    <w:rsid w:val="00523305"/>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5-e/Docs/R1-2105277.z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FF59-DCA1-441B-B37E-A26ED89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22296</Words>
  <Characters>127090</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2021-08-12T17:46:00Z</dcterms:created>
  <dcterms:modified xsi:type="dcterms:W3CDTF">2021-08-12T20:25:00Z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