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Summary #3 of email discussions [106-e-NR-feMIMO-03] for mTRP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14:paraId="41A2A3BB" w14:textId="77777777" w:rsidR="00DF4D92" w:rsidRDefault="00AB366B">
      <w:pPr>
        <w:pStyle w:val="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zh-CN"/>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af0"/>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Huawei/HiSilicon, Convida Wireless, FGI/APT, TCL</w:t>
      </w:r>
    </w:p>
    <w:p w14:paraId="16BE58AE" w14:textId="77777777" w:rsidR="00DF4D92" w:rsidRDefault="00AB366B">
      <w:pPr>
        <w:pStyle w:val="af0"/>
        <w:numPr>
          <w:ilvl w:val="0"/>
          <w:numId w:val="9"/>
        </w:numPr>
        <w:ind w:firstLineChars="0"/>
        <w:rPr>
          <w:b/>
          <w:bCs/>
          <w:sz w:val="22"/>
          <w:szCs w:val="22"/>
          <w:lang w:val="en-US" w:eastAsia="zh-CN"/>
        </w:rPr>
      </w:pPr>
      <w:r>
        <w:rPr>
          <w:b/>
          <w:bCs/>
          <w:sz w:val="22"/>
          <w:szCs w:val="22"/>
          <w:lang w:val="en-US"/>
        </w:rPr>
        <w:t xml:space="preserve">Support Option 2: Lenovo/MotM, LG, OPPO, </w:t>
      </w:r>
      <w:r>
        <w:rPr>
          <w:rFonts w:eastAsia="Malgun Gothic"/>
          <w:b/>
          <w:bCs/>
          <w:sz w:val="22"/>
          <w:szCs w:val="22"/>
          <w:lang w:val="en-US" w:eastAsia="ko-KR"/>
        </w:rPr>
        <w:t xml:space="preserve">Samsung, InterDigital, </w:t>
      </w:r>
      <w:r>
        <w:rPr>
          <w:rFonts w:eastAsiaTheme="minorEastAsia"/>
          <w:b/>
          <w:bCs/>
          <w:sz w:val="22"/>
          <w:szCs w:val="22"/>
          <w:lang w:val="en-US"/>
        </w:rPr>
        <w:t>CATT, Intel</w:t>
      </w:r>
    </w:p>
    <w:p w14:paraId="1F5CC19C" w14:textId="77777777" w:rsidR="00DF4D92" w:rsidRDefault="00AB366B">
      <w:pPr>
        <w:pStyle w:val="af0"/>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r>
        <w:rPr>
          <w:rFonts w:eastAsia="Malgun Gothic"/>
          <w:b/>
          <w:bCs/>
          <w:sz w:val="22"/>
          <w:szCs w:val="22"/>
          <w:lang w:val="en-US" w:eastAsia="ko-KR"/>
        </w:rPr>
        <w:t xml:space="preserve">InterDigital, </w:t>
      </w:r>
      <w:r>
        <w:rPr>
          <w:rFonts w:eastAsiaTheme="minorEastAsia"/>
          <w:b/>
          <w:bCs/>
          <w:sz w:val="22"/>
          <w:szCs w:val="22"/>
          <w:lang w:val="en-US"/>
        </w:rPr>
        <w:t xml:space="preserve">CATT, </w:t>
      </w:r>
      <w:r>
        <w:rPr>
          <w:rFonts w:eastAsia="Malgun Gothic"/>
          <w:b/>
          <w:bCs/>
          <w:sz w:val="22"/>
          <w:szCs w:val="22"/>
          <w:lang w:val="en-US" w:eastAsia="ko-KR"/>
        </w:rPr>
        <w:t>E///, Futurewei,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zh-CN"/>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af0"/>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af0"/>
        <w:numPr>
          <w:ilvl w:val="0"/>
          <w:numId w:val="12"/>
        </w:numPr>
        <w:ind w:firstLineChars="0"/>
        <w:rPr>
          <w:lang w:val="en-GB" w:eastAsia="zh-CN"/>
        </w:rPr>
      </w:pPr>
      <w:r>
        <w:rPr>
          <w:lang w:val="en-GB" w:eastAsia="zh-CN"/>
        </w:rPr>
        <w:t xml:space="preserve">Option 2: </w:t>
      </w:r>
      <w:r>
        <w:rPr>
          <w:rFonts w:eastAsia="等线"/>
          <w:lang w:val="en-US"/>
        </w:rPr>
        <w:t>Reuses priority rule of Rel.15/16, and allows for prioritizing either the linked candidate or the individual candidate</w:t>
      </w:r>
    </w:p>
    <w:p w14:paraId="3F15E06B" w14:textId="77777777" w:rsidR="00DF4D92" w:rsidRDefault="00AB366B">
      <w:pPr>
        <w:pStyle w:val="af0"/>
        <w:numPr>
          <w:ilvl w:val="0"/>
          <w:numId w:val="12"/>
        </w:numPr>
        <w:ind w:firstLineChars="0"/>
        <w:rPr>
          <w:lang w:val="en-GB" w:eastAsia="zh-CN"/>
        </w:rPr>
      </w:pPr>
      <w:r>
        <w:rPr>
          <w:rFonts w:eastAsia="等线"/>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等线"/>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af0"/>
              <w:numPr>
                <w:ilvl w:val="0"/>
                <w:numId w:val="12"/>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14:paraId="03B10B1A" w14:textId="77777777" w:rsidR="00DF4D92" w:rsidRDefault="00AB366B">
            <w:pPr>
              <w:pStyle w:val="af0"/>
              <w:numPr>
                <w:ilvl w:val="0"/>
                <w:numId w:val="12"/>
              </w:numPr>
              <w:ind w:firstLineChars="0"/>
              <w:rPr>
                <w:rFonts w:eastAsia="宋体"/>
                <w:sz w:val="20"/>
                <w:szCs w:val="20"/>
                <w:lang w:val="en-US" w:eastAsia="zh-CN"/>
              </w:rPr>
            </w:pPr>
            <w:r>
              <w:rPr>
                <w:rFonts w:eastAsia="宋体"/>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af0"/>
              <w:numPr>
                <w:ilvl w:val="0"/>
                <w:numId w:val="12"/>
              </w:numPr>
              <w:ind w:firstLineChars="0"/>
              <w:rPr>
                <w:rFonts w:eastAsia="宋体"/>
                <w:sz w:val="20"/>
                <w:szCs w:val="20"/>
                <w:lang w:val="en-US" w:eastAsia="zh-CN"/>
              </w:rPr>
            </w:pPr>
            <w:r>
              <w:rPr>
                <w:rFonts w:eastAsia="宋体"/>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ac"/>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If we use “not monitored”, whether it is counted or not is an another issue.</w:t>
            </w:r>
          </w:p>
          <w:p w14:paraId="5B0F5AE4" w14:textId="77777777" w:rsidR="00DF4D92" w:rsidRDefault="00AB366B">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Lenovo, Convida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af0"/>
              <w:numPr>
                <w:ilvl w:val="0"/>
                <w:numId w:val="13"/>
              </w:numPr>
              <w:ind w:firstLineChars="0"/>
              <w:rPr>
                <w:rFonts w:eastAsia="宋体"/>
                <w:sz w:val="20"/>
                <w:szCs w:val="20"/>
                <w:lang w:val="en-US" w:eastAsia="zh-CN"/>
              </w:rPr>
            </w:pPr>
            <w:r>
              <w:rPr>
                <w:rFonts w:eastAsia="宋体" w:hint="eastAsia"/>
                <w:sz w:val="20"/>
                <w:szCs w:val="20"/>
                <w:lang w:val="en-US" w:eastAsia="zh-CN"/>
              </w:rPr>
              <w:t>o</w:t>
            </w:r>
            <w:r>
              <w:rPr>
                <w:rFonts w:eastAsia="宋体"/>
                <w:sz w:val="20"/>
                <w:szCs w:val="20"/>
                <w:lang w:val="en-US" w:eastAsia="zh-CN"/>
              </w:rPr>
              <w:t>nly 1 BD counted in individual SS set or linked SS set for overbooking rule</w:t>
            </w:r>
          </w:p>
          <w:p w14:paraId="5C23B357" w14:textId="77777777" w:rsidR="00DF4D92" w:rsidRDefault="00AB366B">
            <w:pPr>
              <w:pStyle w:val="af0"/>
              <w:numPr>
                <w:ilvl w:val="0"/>
                <w:numId w:val="13"/>
              </w:numPr>
              <w:ind w:firstLineChars="0"/>
              <w:rPr>
                <w:rFonts w:eastAsia="宋体"/>
                <w:sz w:val="20"/>
                <w:szCs w:val="20"/>
                <w:lang w:val="en-US" w:eastAsia="zh-CN"/>
              </w:rPr>
            </w:pPr>
            <w:r>
              <w:rPr>
                <w:rFonts w:eastAsia="宋体"/>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Lenovo&amp;MotM and Convida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tdoc. </w:t>
            </w:r>
          </w:p>
        </w:tc>
      </w:tr>
    </w:tbl>
    <w:p w14:paraId="2B6D65C5" w14:textId="77777777" w:rsidR="00DF4D92" w:rsidRDefault="00DF4D92">
      <w:pPr>
        <w:rPr>
          <w:lang w:eastAsia="zh-CN"/>
        </w:rPr>
      </w:pPr>
    </w:p>
    <w:p w14:paraId="1EE5FE46"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510FCA2"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(wrt reference PDCCH candidate).</w:t>
      </w:r>
    </w:p>
    <w:p w14:paraId="4EE3DFBB" w14:textId="77777777" w:rsidR="00DF4D92" w:rsidRDefault="00AB366B">
      <w:pPr>
        <w:numPr>
          <w:ilvl w:val="0"/>
          <w:numId w:val="8"/>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To be more clear, the option 1 should be as below from my understanding:</w:t>
            </w:r>
          </w:p>
          <w:p w14:paraId="693509EA" w14:textId="77777777" w:rsidR="00DF4D92" w:rsidRDefault="00AB366B">
            <w:pPr>
              <w:numPr>
                <w:ilvl w:val="0"/>
                <w:numId w:val="8"/>
              </w:numPr>
              <w:rPr>
                <w:rFonts w:eastAsia="等线"/>
                <w:b/>
                <w:bCs/>
                <w:i/>
                <w:iCs/>
                <w:kern w:val="32"/>
                <w:sz w:val="24"/>
                <w:szCs w:val="24"/>
                <w:lang w:val="en-GB" w:eastAsia="zh-CN"/>
              </w:rPr>
            </w:pPr>
            <w:r>
              <w:rPr>
                <w:rFonts w:eastAsia="等线"/>
                <w:b/>
                <w:bCs/>
                <w:i/>
                <w:iCs/>
                <w:kern w:val="32"/>
                <w:sz w:val="24"/>
                <w:szCs w:val="24"/>
                <w:lang w:val="en-GB" w:eastAsia="zh-CN"/>
              </w:rPr>
              <w:t xml:space="preserve">Option 1: The individual candidate is not monitored </w:t>
            </w:r>
            <w:r>
              <w:rPr>
                <w:rFonts w:eastAsia="等线"/>
                <w:b/>
                <w:bCs/>
                <w:i/>
                <w:iCs/>
                <w:color w:val="FF0000"/>
                <w:kern w:val="32"/>
                <w:sz w:val="24"/>
                <w:szCs w:val="24"/>
                <w:lang w:val="en-GB" w:eastAsia="zh-CN"/>
              </w:rPr>
              <w:t>and not counted</w:t>
            </w:r>
          </w:p>
          <w:p w14:paraId="32CA4BF2" w14:textId="77777777" w:rsidR="00DF4D92" w:rsidRDefault="00AB366B">
            <w:pPr>
              <w:numPr>
                <w:ilvl w:val="1"/>
                <w:numId w:val="8"/>
              </w:numPr>
              <w:rPr>
                <w:rFonts w:eastAsia="等线"/>
                <w:b/>
                <w:bCs/>
                <w:i/>
                <w:iCs/>
                <w:kern w:val="32"/>
                <w:sz w:val="24"/>
                <w:szCs w:val="24"/>
                <w:lang w:val="en-GB" w:eastAsia="zh-CN"/>
              </w:rPr>
            </w:pPr>
            <w:r>
              <w:rPr>
                <w:rFonts w:eastAsia="等线"/>
                <w:b/>
                <w:bCs/>
                <w:i/>
                <w:iCs/>
                <w:kern w:val="32"/>
                <w:sz w:val="24"/>
                <w:szCs w:val="24"/>
                <w:lang w:val="en-GB" w:eastAsia="zh-CN"/>
              </w:rPr>
              <w:t>Interpretation of the detected DCI is based on Rel. 17 PDCCH repetition rules (wrt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Lenovo/MotM</w:t>
            </w:r>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use-case: we expect SS-sets for sTRP (individual candidate) and mTRP (linked candidates) would typically overlap to allow dynamic switching of sTRP/mTRP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sTRP/mTRP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because gNB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as gNB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Ok for dynamic switching of sTRP/mTRP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we think retaining Rel-15 behavior of monitoring individual candidate makes even more sense for mTRP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dynamic switching between sTRP and mTRP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14:paraId="2DB96FDC"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af0"/>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wrt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Huawei/HiSilicon: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Which of the following cases do you support (first/second preference)? You can assume option 1 for simplicity and given the views above. If possible, please list pros / cons wrt flexibility / feasibility / complexity.</w:t>
      </w:r>
    </w:p>
    <w:p w14:paraId="39FF74CC"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af0"/>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wrt Cases 1-4 given the conditions (same DCI size, same CCEs, same CORESET, same scrambling)? </w:t>
      </w:r>
    </w:p>
    <w:p w14:paraId="06064F7D" w14:textId="77777777" w:rsidR="00DF4D92" w:rsidRDefault="00AB366B">
      <w:pPr>
        <w:pStyle w:val="af0"/>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have case 2 or 3 because it does not allow gNB to send sTRP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Q4: In our view, CCEs can still be shared, and dynamic switching between sTRP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zh-CN"/>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af0"/>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af0"/>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1,  it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t understand why an extra BD should be counted if UE does not monitor it. It cause BD waste</w:t>
            </w:r>
          </w:p>
          <w:p w14:paraId="365CDE2C" w14:textId="77777777" w:rsidR="00DF4D92" w:rsidRDefault="00AB366B">
            <w:pPr>
              <w:pStyle w:val="af0"/>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For Case 4, it is not good for UE capability with BD =3. It cause BD waste since total BD = 3 is enough.</w:t>
            </w:r>
          </w:p>
          <w:p w14:paraId="23C40492" w14:textId="77777777" w:rsidR="00DF4D92" w:rsidRDefault="00DF4D92">
            <w:pPr>
              <w:pStyle w:val="af0"/>
              <w:ind w:firstLineChars="0" w:firstLine="0"/>
              <w:rPr>
                <w:rFonts w:eastAsiaTheme="minorEastAsia"/>
                <w:sz w:val="20"/>
                <w:szCs w:val="20"/>
                <w:lang w:val="en-US" w:eastAsia="zh-CN"/>
              </w:rPr>
            </w:pPr>
          </w:p>
          <w:p w14:paraId="31F00C90" w14:textId="77777777" w:rsidR="00DF4D92" w:rsidRDefault="00AB366B">
            <w:pPr>
              <w:pStyle w:val="af0"/>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/4  are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Thank you Intel and FL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Lenovo/MotM</w:t>
            </w:r>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etc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Lenovo/MotM.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2BD does not means selective decoding. UE can use 3 different decoding assumption 1-3 which we already discussed. The gNB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preference is case 2 which is the simplest solution. Second preference is case 3 with UE capability because UE needs to recalculation of BD even for dropped candidates. This is new behaviour.</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correctly counted even if the UE has to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he gNB can always use not fully overlapped candidates if they want dynamic switching. We cannot find very useful scenarios for the fully overlapped candidates with the same size between individual candidates and one of linked candidates. For the question, yes, gNB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r>
              <w:rPr>
                <w:rFonts w:eastAsia="Malgun Gothic"/>
                <w:sz w:val="20"/>
                <w:szCs w:val="20"/>
                <w:lang w:eastAsia="ko-KR"/>
              </w:rPr>
              <w:lastRenderedPageBreak/>
              <w:t>Futurewei</w:t>
            </w:r>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3BD, and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r w:rsidRPr="00D528BC">
              <w:rPr>
                <w:sz w:val="18"/>
                <w:szCs w:val="18"/>
                <w:lang w:val="en-GB" w:eastAsia="zh-CN"/>
              </w:rPr>
              <w:t xml:space="preserve">First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r w:rsidR="004A71AB" w:rsidRPr="00D528BC">
              <w:rPr>
                <w:sz w:val="18"/>
                <w:szCs w:val="18"/>
                <w:lang w:val="en-GB" w:eastAsia="zh-CN"/>
              </w:rPr>
              <w:t>and also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gNB shall be able to support </w:t>
            </w:r>
            <w:r w:rsidR="0023559E" w:rsidRPr="00D528BC">
              <w:rPr>
                <w:sz w:val="18"/>
                <w:szCs w:val="18"/>
                <w:lang w:eastAsia="zh-CN"/>
              </w:rPr>
              <w:t xml:space="preserve">configure overlapped SS sets (individual and linked) such that some individual candidates have complete CCE overlap with linked candidates.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r w:rsidR="00875A3E" w14:paraId="17EDB7FE" w14:textId="77777777" w:rsidTr="00875A3E">
        <w:tc>
          <w:tcPr>
            <w:tcW w:w="1795" w:type="dxa"/>
          </w:tcPr>
          <w:p w14:paraId="02192E33" w14:textId="77777777" w:rsidR="00875A3E" w:rsidRDefault="00875A3E" w:rsidP="00542E95">
            <w:pPr>
              <w:autoSpaceDE w:val="0"/>
              <w:autoSpaceDN w:val="0"/>
              <w:adjustRightInd w:val="0"/>
              <w:snapToGrid w:val="0"/>
              <w:rPr>
                <w:rFonts w:eastAsia="Malgun Gothic"/>
                <w:sz w:val="20"/>
                <w:szCs w:val="20"/>
                <w:lang w:eastAsia="ko-KR"/>
              </w:rPr>
            </w:pPr>
            <w:r>
              <w:rPr>
                <w:rFonts w:eastAsia="Malgun Gothic"/>
                <w:sz w:val="20"/>
                <w:szCs w:val="20"/>
                <w:lang w:eastAsia="ko-KR"/>
              </w:rPr>
              <w:t>InterDigital</w:t>
            </w:r>
          </w:p>
        </w:tc>
        <w:tc>
          <w:tcPr>
            <w:tcW w:w="7070" w:type="dxa"/>
          </w:tcPr>
          <w:p w14:paraId="1B0E0D42" w14:textId="77777777" w:rsidR="00875A3E" w:rsidRDefault="00875A3E" w:rsidP="00542E95">
            <w:pPr>
              <w:rPr>
                <w:rFonts w:eastAsia="Malgun Gothic"/>
                <w:sz w:val="20"/>
                <w:szCs w:val="20"/>
                <w:lang w:eastAsia="zh-CN"/>
              </w:rPr>
            </w:pPr>
            <w:r>
              <w:rPr>
                <w:rFonts w:eastAsia="Malgun Gothic"/>
                <w:sz w:val="20"/>
                <w:szCs w:val="20"/>
                <w:lang w:eastAsia="zh-CN"/>
              </w:rPr>
              <w:t>Q1: Not sure, if the question should be about preference; rather whether about validity of the behavior considering different decoding assumptions. Then, the answer would depend on the UE decoding assumption. For example, for decoding assumption with BD=3 and 2(with selective), all cases may be considered. However, for the case with BD=2 (with combining), Case 1 may not be relevant.</w:t>
            </w:r>
          </w:p>
          <w:p w14:paraId="051F6655" w14:textId="77777777" w:rsidR="00875A3E" w:rsidRDefault="00875A3E" w:rsidP="00542E95">
            <w:pPr>
              <w:rPr>
                <w:rFonts w:eastAsia="Malgun Gothic"/>
                <w:sz w:val="20"/>
                <w:szCs w:val="20"/>
                <w:lang w:eastAsia="zh-CN"/>
              </w:rPr>
            </w:pPr>
          </w:p>
          <w:p w14:paraId="20A5700C" w14:textId="77777777" w:rsidR="00875A3E" w:rsidRDefault="00875A3E" w:rsidP="00542E95">
            <w:pPr>
              <w:rPr>
                <w:rFonts w:eastAsia="Malgun Gothic"/>
                <w:sz w:val="20"/>
                <w:szCs w:val="20"/>
                <w:lang w:eastAsia="zh-CN"/>
              </w:rPr>
            </w:pPr>
            <w:r>
              <w:rPr>
                <w:rFonts w:eastAsia="Malgun Gothic"/>
                <w:sz w:val="20"/>
                <w:szCs w:val="20"/>
                <w:lang w:eastAsia="zh-CN"/>
              </w:rPr>
              <w:t>Q2: Cases 2, 3 and 4 can be considered for all decoding assumptions</w:t>
            </w:r>
          </w:p>
          <w:p w14:paraId="05C83370" w14:textId="77777777" w:rsidR="00875A3E" w:rsidRDefault="00875A3E" w:rsidP="00542E95">
            <w:pPr>
              <w:rPr>
                <w:rFonts w:eastAsia="Malgun Gothic"/>
                <w:sz w:val="20"/>
                <w:szCs w:val="20"/>
                <w:lang w:eastAsia="zh-CN"/>
              </w:rPr>
            </w:pPr>
          </w:p>
          <w:p w14:paraId="6C69F034" w14:textId="77777777" w:rsidR="00875A3E" w:rsidRDefault="00875A3E" w:rsidP="00542E95">
            <w:pPr>
              <w:rPr>
                <w:rFonts w:eastAsia="Malgun Gothic"/>
                <w:sz w:val="20"/>
                <w:szCs w:val="20"/>
                <w:lang w:eastAsia="zh-CN"/>
              </w:rPr>
            </w:pPr>
            <w:r>
              <w:rPr>
                <w:rFonts w:eastAsia="Malgun Gothic"/>
                <w:sz w:val="20"/>
                <w:szCs w:val="20"/>
                <w:lang w:eastAsia="zh-CN"/>
              </w:rPr>
              <w:t>Q3: Case 1 and 4 where for a UE with BD=2 (with combining), UE behavior should ensure one of the blind decoding be performed on the individual candidate.</w:t>
            </w:r>
          </w:p>
          <w:p w14:paraId="3730F4A6" w14:textId="77777777" w:rsidR="00875A3E" w:rsidRDefault="00875A3E" w:rsidP="00542E95">
            <w:pPr>
              <w:rPr>
                <w:rFonts w:eastAsia="Malgun Gothic"/>
                <w:sz w:val="20"/>
                <w:szCs w:val="20"/>
                <w:lang w:eastAsia="zh-CN"/>
              </w:rPr>
            </w:pPr>
          </w:p>
          <w:p w14:paraId="6C266496" w14:textId="77777777" w:rsidR="00875A3E" w:rsidRDefault="00875A3E" w:rsidP="00542E95">
            <w:pPr>
              <w:rPr>
                <w:rFonts w:eastAsia="Malgun Gothic"/>
                <w:sz w:val="20"/>
                <w:szCs w:val="20"/>
                <w:lang w:eastAsia="zh-CN"/>
              </w:rPr>
            </w:pPr>
            <w:r>
              <w:rPr>
                <w:rFonts w:eastAsia="Malgun Gothic"/>
                <w:sz w:val="20"/>
                <w:szCs w:val="20"/>
                <w:lang w:eastAsia="zh-CN"/>
              </w:rPr>
              <w:t>Q4: We don’t see a strong motivation in support of this scenario at this time.</w:t>
            </w:r>
          </w:p>
        </w:tc>
      </w:tr>
      <w:tr w:rsidR="00542E95" w14:paraId="76BED661" w14:textId="77777777" w:rsidTr="00875A3E">
        <w:tc>
          <w:tcPr>
            <w:tcW w:w="1795" w:type="dxa"/>
          </w:tcPr>
          <w:p w14:paraId="716EA74E" w14:textId="7A9CBA8E" w:rsidR="00542E95" w:rsidRPr="00542E95" w:rsidRDefault="00542E95" w:rsidP="00542E95">
            <w:pPr>
              <w:autoSpaceDE w:val="0"/>
              <w:autoSpaceDN w:val="0"/>
              <w:adjustRightInd w:val="0"/>
              <w:snapToGrid w:val="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070" w:type="dxa"/>
          </w:tcPr>
          <w:p w14:paraId="6C67ABD4" w14:textId="24B2A283"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Our first preference is Case3</w:t>
            </w:r>
            <w:r w:rsidR="009678FD">
              <w:rPr>
                <w:rFonts w:eastAsiaTheme="minorEastAsia"/>
                <w:sz w:val="20"/>
                <w:szCs w:val="20"/>
                <w:lang w:eastAsia="zh-CN"/>
              </w:rPr>
              <w:t xml:space="preserve"> for its simplicity</w:t>
            </w:r>
            <w:r>
              <w:rPr>
                <w:rFonts w:eastAsiaTheme="minorEastAsia"/>
                <w:sz w:val="20"/>
                <w:szCs w:val="20"/>
                <w:lang w:eastAsia="zh-CN"/>
              </w:rPr>
              <w:t>, our second preference is Case2.</w:t>
            </w:r>
          </w:p>
          <w:p w14:paraId="06B36E2B" w14:textId="77777777"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2: We think Case 2 and Case 3 can work in all the BD assumptions.</w:t>
            </w:r>
          </w:p>
          <w:p w14:paraId="0FF8BDD5" w14:textId="0CFC5C5B" w:rsidR="00542E95" w:rsidRDefault="00542E95" w:rsidP="00542E95">
            <w:pPr>
              <w:rPr>
                <w:rFonts w:eastAsiaTheme="minorEastAsia"/>
                <w:sz w:val="20"/>
                <w:szCs w:val="20"/>
                <w:lang w:eastAsia="zh-CN"/>
              </w:rPr>
            </w:pPr>
            <w:r>
              <w:rPr>
                <w:rFonts w:eastAsiaTheme="minorEastAsia" w:hint="eastAsia"/>
                <w:sz w:val="20"/>
                <w:szCs w:val="20"/>
                <w:lang w:eastAsia="zh-CN"/>
              </w:rPr>
              <w:lastRenderedPageBreak/>
              <w:t>Q</w:t>
            </w:r>
            <w:r>
              <w:rPr>
                <w:rFonts w:eastAsiaTheme="minorEastAsia"/>
                <w:sz w:val="20"/>
                <w:szCs w:val="20"/>
                <w:lang w:eastAsia="zh-CN"/>
              </w:rPr>
              <w:t>3: Case 1 and Case 4 might need extra spec impact on UE capability since both individual candidate and linked candidate need be decoded.</w:t>
            </w:r>
          </w:p>
          <w:p w14:paraId="7F8288C6" w14:textId="01550178" w:rsidR="009678FD" w:rsidRDefault="009678FD" w:rsidP="00542E95">
            <w:pPr>
              <w:rPr>
                <w:rFonts w:eastAsiaTheme="minorEastAsia"/>
                <w:sz w:val="20"/>
                <w:szCs w:val="20"/>
                <w:lang w:eastAsia="zh-CN"/>
              </w:rPr>
            </w:pPr>
            <w:r>
              <w:rPr>
                <w:rFonts w:eastAsiaTheme="minorEastAsia"/>
                <w:sz w:val="20"/>
                <w:szCs w:val="20"/>
                <w:lang w:eastAsia="zh-CN"/>
              </w:rPr>
              <w:t>Besides, for Case 1, if 2 BD is assumed and the soft combining just happens in the overlapping candidate, it is difficult for UE to decode the individual and linked candidate simultaneously; for Case 4, if 3 BD is assumed, it is a waste on BD</w:t>
            </w:r>
            <w:r w:rsidR="000C17D4">
              <w:rPr>
                <w:rFonts w:eastAsiaTheme="minorEastAsia"/>
                <w:sz w:val="20"/>
                <w:szCs w:val="20"/>
                <w:lang w:eastAsia="zh-CN"/>
              </w:rPr>
              <w:t>,</w:t>
            </w:r>
            <w:r>
              <w:rPr>
                <w:rFonts w:eastAsiaTheme="minorEastAsia"/>
                <w:sz w:val="20"/>
                <w:szCs w:val="20"/>
                <w:lang w:eastAsia="zh-CN"/>
              </w:rPr>
              <w:t xml:space="preserve"> as the soft combining could happen in the third BD and the two overlapped candidates could just be counted as 1 BD, to</w:t>
            </w:r>
            <w:r w:rsidR="000C17D4">
              <w:rPr>
                <w:rFonts w:eastAsiaTheme="minorEastAsia"/>
                <w:sz w:val="20"/>
                <w:szCs w:val="20"/>
                <w:lang w:eastAsia="zh-CN"/>
              </w:rPr>
              <w:t>tall</w:t>
            </w:r>
            <w:r>
              <w:rPr>
                <w:rFonts w:eastAsiaTheme="minorEastAsia"/>
                <w:sz w:val="20"/>
                <w:szCs w:val="20"/>
                <w:lang w:eastAsia="zh-CN"/>
              </w:rPr>
              <w:t>y</w:t>
            </w:r>
            <w:r w:rsidR="000C17D4">
              <w:rPr>
                <w:rFonts w:eastAsiaTheme="minorEastAsia"/>
                <w:sz w:val="20"/>
                <w:szCs w:val="20"/>
                <w:lang w:eastAsia="zh-CN"/>
              </w:rPr>
              <w:t xml:space="preserve"> 3 BD is enough</w:t>
            </w:r>
            <w:r>
              <w:rPr>
                <w:rFonts w:eastAsiaTheme="minorEastAsia"/>
                <w:sz w:val="20"/>
                <w:szCs w:val="20"/>
                <w:lang w:eastAsia="zh-CN"/>
              </w:rPr>
              <w:t>.</w:t>
            </w:r>
          </w:p>
          <w:p w14:paraId="3D155731" w14:textId="7ED05725" w:rsidR="00542E95" w:rsidRP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4: </w:t>
            </w:r>
            <w:r w:rsidR="009678FD">
              <w:rPr>
                <w:rFonts w:eastAsiaTheme="minorEastAsia"/>
                <w:sz w:val="20"/>
                <w:szCs w:val="20"/>
                <w:lang w:eastAsia="zh-CN"/>
              </w:rPr>
              <w:t>W</w:t>
            </w:r>
            <w:r>
              <w:rPr>
                <w:rFonts w:eastAsiaTheme="minorEastAsia"/>
                <w:sz w:val="20"/>
                <w:szCs w:val="20"/>
                <w:lang w:eastAsia="zh-CN"/>
              </w:rPr>
              <w:t xml:space="preserve">e </w:t>
            </w:r>
            <w:r w:rsidR="009678FD">
              <w:rPr>
                <w:rFonts w:eastAsiaTheme="minorEastAsia"/>
                <w:sz w:val="20"/>
                <w:szCs w:val="20"/>
                <w:lang w:eastAsia="zh-CN"/>
              </w:rPr>
              <w:t xml:space="preserve">do not think the </w:t>
            </w:r>
            <w:r>
              <w:rPr>
                <w:rFonts w:eastAsiaTheme="minorEastAsia"/>
                <w:sz w:val="20"/>
                <w:szCs w:val="20"/>
                <w:lang w:eastAsia="zh-CN"/>
              </w:rPr>
              <w:t xml:space="preserve">dynamic switching </w:t>
            </w:r>
            <w:r w:rsidR="009678FD">
              <w:rPr>
                <w:rFonts w:eastAsiaTheme="minorEastAsia"/>
                <w:sz w:val="20"/>
                <w:szCs w:val="20"/>
                <w:lang w:eastAsia="zh-CN"/>
              </w:rPr>
              <w:t>using overlapping CCEs is very important.</w:t>
            </w:r>
          </w:p>
        </w:tc>
      </w:tr>
      <w:tr w:rsidR="004B4F7A" w14:paraId="69292803" w14:textId="77777777" w:rsidTr="00875A3E">
        <w:tc>
          <w:tcPr>
            <w:tcW w:w="1795" w:type="dxa"/>
          </w:tcPr>
          <w:p w14:paraId="3880D1FD" w14:textId="6AF0D72D" w:rsidR="004B4F7A" w:rsidRDefault="004B4F7A" w:rsidP="00542E95">
            <w:pPr>
              <w:autoSpaceDE w:val="0"/>
              <w:autoSpaceDN w:val="0"/>
              <w:adjustRightInd w:val="0"/>
              <w:snapToGrid w:val="0"/>
              <w:rPr>
                <w:rFonts w:hint="eastAsia"/>
                <w:sz w:val="20"/>
                <w:szCs w:val="20"/>
                <w:lang w:eastAsia="zh-CN"/>
              </w:rPr>
            </w:pPr>
            <w:r>
              <w:rPr>
                <w:rFonts w:hint="eastAsia"/>
                <w:sz w:val="20"/>
                <w:szCs w:val="20"/>
                <w:lang w:eastAsia="zh-CN"/>
              </w:rPr>
              <w:lastRenderedPageBreak/>
              <w:t>Xiaomi</w:t>
            </w:r>
          </w:p>
        </w:tc>
        <w:tc>
          <w:tcPr>
            <w:tcW w:w="7070" w:type="dxa"/>
          </w:tcPr>
          <w:p w14:paraId="41049DDE" w14:textId="1E56BA55" w:rsidR="004B4F7A" w:rsidRPr="00375E6E" w:rsidRDefault="004B4F7A" w:rsidP="00542E95">
            <w:pPr>
              <w:rPr>
                <w:rFonts w:hint="eastAsia"/>
                <w:sz w:val="20"/>
                <w:szCs w:val="20"/>
                <w:lang w:eastAsia="zh-CN"/>
              </w:rPr>
            </w:pPr>
            <w:r w:rsidRPr="00375E6E">
              <w:rPr>
                <w:sz w:val="20"/>
                <w:szCs w:val="20"/>
              </w:rPr>
              <w:t>Q1: We think the individual candidate play two roles here. One is the candidate for sTRP and the other one is one of the two linked candidates for mTRP. If Option 1 is assumed, we prefer case 3 as the 1</w:t>
            </w:r>
            <w:r w:rsidRPr="00375E6E">
              <w:rPr>
                <w:sz w:val="20"/>
                <w:szCs w:val="20"/>
                <w:vertAlign w:val="superscript"/>
              </w:rPr>
              <w:t>st</w:t>
            </w:r>
            <w:r w:rsidRPr="00375E6E">
              <w:rPr>
                <w:sz w:val="20"/>
                <w:szCs w:val="20"/>
              </w:rPr>
              <w:t xml:space="preserve"> preference and case 2 as the 2</w:t>
            </w:r>
            <w:r w:rsidRPr="00375E6E">
              <w:rPr>
                <w:sz w:val="20"/>
                <w:szCs w:val="20"/>
                <w:vertAlign w:val="superscript"/>
              </w:rPr>
              <w:t>nd</w:t>
            </w:r>
            <w:r w:rsidRPr="00375E6E">
              <w:rPr>
                <w:sz w:val="20"/>
                <w:szCs w:val="20"/>
              </w:rPr>
              <w:t xml:space="preserve"> preference when taking the individual candidate as the PDCCH candidate for sTRP. But since the individual candidate is overlapped with one of the two linked candidate, when taking the individual candidate as the PDCCH candidate for mTRP, whether to monitor the individual candidate or not will depend on the BD assumption for two linked candidates. If 3 BDs is assumed, the in</w:t>
            </w:r>
            <w:bookmarkStart w:id="5" w:name="_GoBack"/>
            <w:bookmarkEnd w:id="5"/>
            <w:r w:rsidRPr="00375E6E">
              <w:rPr>
                <w:sz w:val="20"/>
                <w:szCs w:val="20"/>
              </w:rPr>
              <w:t xml:space="preserve">dividual candidate will be monitored and total 3 BDs will be counted for two linked candidates. If two individual decoding is used for 2 BDs assumption, the individual candidate will be monitored and counted. If only soft combining is used for 2 BDs assumption, the individual candidate will be not monitored. If one individual decoding and soft combining is used for 2 BDs assumption, the individual candidate will be monitored with some probability.   </w:t>
            </w:r>
          </w:p>
        </w:tc>
      </w:tr>
    </w:tbl>
    <w:p w14:paraId="52EBACDC" w14:textId="77777777" w:rsidR="00DF4D92" w:rsidRDefault="00DF4D92">
      <w:pPr>
        <w:rPr>
          <w:b/>
          <w:bCs/>
          <w:lang w:eastAsia="zh-CN"/>
        </w:rPr>
      </w:pPr>
    </w:p>
    <w:p w14:paraId="3653654A" w14:textId="77777777" w:rsidR="00DF4D92" w:rsidRDefault="00DF4D92">
      <w:pPr>
        <w:pStyle w:val="af0"/>
        <w:ind w:left="720" w:firstLineChars="0" w:firstLine="0"/>
        <w:rPr>
          <w:rFonts w:eastAsiaTheme="minorEastAsia"/>
          <w:b/>
          <w:bCs/>
          <w:sz w:val="22"/>
          <w:szCs w:val="22"/>
          <w:lang w:val="en-US" w:eastAsia="zh-CN"/>
        </w:rPr>
      </w:pPr>
    </w:p>
    <w:p w14:paraId="38619AE7" w14:textId="77777777" w:rsidR="00DF4D92" w:rsidRDefault="00DF4D92">
      <w:pPr>
        <w:pStyle w:val="af0"/>
        <w:ind w:left="720" w:firstLineChars="0" w:firstLine="0"/>
        <w:rPr>
          <w:rFonts w:eastAsiaTheme="minorEastAsia"/>
          <w:b/>
          <w:bCs/>
          <w:sz w:val="22"/>
          <w:szCs w:val="22"/>
          <w:lang w:val="en-US" w:eastAsia="zh-CN"/>
        </w:rPr>
      </w:pPr>
    </w:p>
    <w:p w14:paraId="138073A7" w14:textId="77777777" w:rsidR="00DF4D92" w:rsidRDefault="00AB366B">
      <w:pPr>
        <w:pStyle w:val="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01C869C4" w14:textId="77777777" w:rsidR="00DF4D92" w:rsidRDefault="00AB366B">
      <w:pPr>
        <w:rPr>
          <w:rFonts w:ascii="Times New Roman" w:eastAsia="等线" w:hAnsi="Times New Roman" w:cs="Times New Roman"/>
          <w:kern w:val="32"/>
          <w:sz w:val="20"/>
          <w:szCs w:val="20"/>
          <w:u w:val="single"/>
          <w:lang w:eastAsia="zh-CN"/>
        </w:rPr>
      </w:pPr>
      <w:r>
        <w:rPr>
          <w:rFonts w:ascii="Times New Roman" w:eastAsia="等线"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af0"/>
        <w:numPr>
          <w:ilvl w:val="0"/>
          <w:numId w:val="17"/>
        </w:numPr>
        <w:ind w:firstLineChars="0"/>
        <w:rPr>
          <w:sz w:val="20"/>
          <w:szCs w:val="20"/>
          <w:lang w:val="en-US"/>
        </w:rPr>
      </w:pPr>
      <w:r>
        <w:rPr>
          <w:sz w:val="20"/>
          <w:szCs w:val="20"/>
          <w:lang w:val="en-US"/>
        </w:rPr>
        <w:t>Confirm the WA: The UE expects the same configuration for the first and second CORESETs wrt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af0"/>
        <w:numPr>
          <w:ilvl w:val="0"/>
          <w:numId w:val="17"/>
        </w:numPr>
        <w:ind w:firstLineChars="0"/>
        <w:rPr>
          <w:sz w:val="20"/>
          <w:szCs w:val="20"/>
          <w:lang w:val="en-US"/>
        </w:rPr>
      </w:pPr>
      <w:r>
        <w:rPr>
          <w:sz w:val="20"/>
          <w:szCs w:val="20"/>
          <w:lang w:val="en-US"/>
        </w:rPr>
        <w:t>For N timeline and the HARQ ACK slot offset in the case that DL DCI does not schedule PDSCH but requests HARQ-Ack: SPS release DCI, SCell dormancy indication, requesting Type-3 HARQ-Ack codebook</w:t>
      </w:r>
    </w:p>
    <w:p w14:paraId="6CEE60DB" w14:textId="77777777" w:rsidR="00DF4D92" w:rsidRDefault="00AB366B">
      <w:pPr>
        <w:pStyle w:val="af0"/>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af0"/>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af0"/>
        <w:numPr>
          <w:ilvl w:val="0"/>
          <w:numId w:val="17"/>
        </w:numPr>
        <w:ind w:firstLineChars="0"/>
        <w:rPr>
          <w:sz w:val="20"/>
          <w:szCs w:val="20"/>
        </w:rPr>
      </w:pPr>
      <w:r>
        <w:rPr>
          <w:sz w:val="20"/>
          <w:szCs w:val="20"/>
        </w:rPr>
        <w:t>For starting drx-InacitivityTimer</w:t>
      </w:r>
    </w:p>
    <w:p w14:paraId="27339436" w14:textId="77777777" w:rsidR="00DF4D92" w:rsidRDefault="00AB366B">
      <w:pPr>
        <w:pStyle w:val="af0"/>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af0"/>
        <w:numPr>
          <w:ilvl w:val="0"/>
          <w:numId w:val="17"/>
        </w:numPr>
        <w:ind w:firstLineChars="0"/>
        <w:rPr>
          <w:sz w:val="20"/>
          <w:szCs w:val="20"/>
          <w:lang w:val="en-US"/>
        </w:rPr>
      </w:pPr>
      <w:r>
        <w:rPr>
          <w:sz w:val="20"/>
          <w:szCs w:val="20"/>
          <w:lang w:val="en-US"/>
        </w:rPr>
        <w:t>For PDSCH / AP-CSI-RS reception preparation time with cross carrier scheduling with different SCS’s for PDCCH and PDSCH / AP-CSI-RS, i.e., minimum scheduling delay Npdsch and Ncsirs</w:t>
      </w:r>
    </w:p>
    <w:p w14:paraId="52187FA5" w14:textId="77777777" w:rsidR="00DF4D92" w:rsidRDefault="00AB366B">
      <w:pPr>
        <w:pStyle w:val="af0"/>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af0"/>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af0"/>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等线"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等线"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af0"/>
        <w:numPr>
          <w:ilvl w:val="0"/>
          <w:numId w:val="17"/>
        </w:numPr>
        <w:ind w:firstLineChars="0"/>
        <w:rPr>
          <w:sz w:val="20"/>
          <w:szCs w:val="20"/>
          <w:lang w:val="en-US"/>
        </w:rPr>
      </w:pPr>
      <w:r>
        <w:rPr>
          <w:sz w:val="20"/>
          <w:szCs w:val="20"/>
          <w:lang w:val="en-US"/>
        </w:rPr>
        <w:lastRenderedPageBreak/>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2CB392C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Option 1: UE still monitors the linked candidate that is not dropped and interprets the DCI based on Rel. 17 PDCCH rules (wrt reference PDCCH candidate)</w:t>
      </w:r>
    </w:p>
    <w:p w14:paraId="6C62EB2C"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2: Overlap with rate matching resources: RateMatchPattern, lte-CRS-ToMatchAround, or LTE-CRS-PatternList-r16, availableRB-SetPerCell-r16</w:t>
      </w:r>
    </w:p>
    <w:p w14:paraId="0C7AB8F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4: QCL-TypeD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af0"/>
        <w:ind w:firstLineChars="0" w:firstLine="0"/>
        <w:rPr>
          <w:rFonts w:eastAsiaTheme="minorEastAsia"/>
          <w:b/>
          <w:bCs/>
          <w:sz w:val="20"/>
          <w:szCs w:val="20"/>
          <w:lang w:val="en-US" w:eastAsia="zh-CN"/>
        </w:rPr>
      </w:pPr>
    </w:p>
    <w:p w14:paraId="2DFE4D10" w14:textId="77777777" w:rsidR="00DF4D92" w:rsidRDefault="00DF4D92">
      <w:pPr>
        <w:pStyle w:val="af0"/>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0EAB9FC8" w14:textId="77777777" w:rsidR="00DF4D92" w:rsidRDefault="00AB366B">
      <w:pPr>
        <w:pStyle w:val="af0"/>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12EFC3BC" w14:textId="77777777" w:rsidR="00DF4D92" w:rsidRDefault="00AB366B">
      <w:pPr>
        <w:pStyle w:val="af0"/>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af0"/>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af0"/>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af0"/>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af0"/>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Case 1: One pair of linked MO’s of one pair of linked SS sets in a given slot with large number of candidates.</w:t>
      </w:r>
    </w:p>
    <w:p w14:paraId="65DE3B39"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Case 2: Multiple pairs of linked MO’s of one pair of linked SS sets in a given slot, where MO’s of the two SS sets are not interlaced</w:t>
      </w:r>
    </w:p>
    <w:p w14:paraId="1992EF92" w14:textId="77777777" w:rsidR="00DF4D92" w:rsidRDefault="00AB366B">
      <w:pPr>
        <w:pStyle w:val="af0"/>
        <w:numPr>
          <w:ilvl w:val="1"/>
          <w:numId w:val="20"/>
        </w:numPr>
        <w:ind w:firstLineChars="0"/>
        <w:jc w:val="left"/>
        <w:rPr>
          <w:bCs/>
          <w:iCs/>
          <w:sz w:val="20"/>
          <w:szCs w:val="20"/>
          <w:lang w:val="en-US"/>
        </w:rPr>
      </w:pPr>
      <w:r>
        <w:rPr>
          <w:bCs/>
          <w:iCs/>
          <w:sz w:val="20"/>
          <w:szCs w:val="20"/>
          <w:lang w:val="en-US"/>
        </w:rPr>
        <w:lastRenderedPageBreak/>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af0"/>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af0"/>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r>
        <w:rPr>
          <w:rFonts w:ascii="Times New Roman" w:hAnsi="Times New Roman" w:cs="Times New Roman"/>
          <w:bCs/>
          <w:i/>
          <w:iCs/>
          <w:sz w:val="20"/>
          <w:szCs w:val="20"/>
        </w:rPr>
        <w:t>recoverySearchSpaceId</w:t>
      </w:r>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QCL-TypeD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QCL-TypeD property, and then, identify the second QCL-TypeD according to one of the SS sets that is linked with a SS set with the first QCL-TypeD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QCL-TypeD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QCL-TypeD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等线"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633D81EA" w14:textId="77777777" w:rsidR="00DF4D92" w:rsidRDefault="00DF4D92">
      <w:pPr>
        <w:pStyle w:val="af0"/>
        <w:ind w:firstLineChars="0" w:firstLine="0"/>
        <w:rPr>
          <w:rFonts w:eastAsiaTheme="minorEastAsia"/>
          <w:b/>
          <w:bCs/>
          <w:sz w:val="20"/>
          <w:szCs w:val="20"/>
          <w:lang w:val="en-US" w:eastAsia="zh-CN"/>
        </w:rPr>
      </w:pPr>
    </w:p>
    <w:p w14:paraId="49ADE777" w14:textId="77777777" w:rsidR="00DF4D92" w:rsidRDefault="00AB366B">
      <w:pPr>
        <w:rPr>
          <w:rFonts w:ascii="Times New Roman" w:eastAsia="等线" w:hAnsi="Times New Roman" w:cs="Times New Roman"/>
          <w:b/>
          <w:bCs/>
          <w:kern w:val="32"/>
          <w:sz w:val="20"/>
          <w:szCs w:val="20"/>
          <w:lang w:eastAsia="zh-CN"/>
        </w:rPr>
      </w:pPr>
      <w:r>
        <w:rPr>
          <w:rFonts w:ascii="Times New Roman" w:eastAsia="等线" w:hAnsi="Times New Roman" w:cs="Times New Roman"/>
          <w:b/>
          <w:bCs/>
          <w:kern w:val="32"/>
          <w:sz w:val="20"/>
          <w:szCs w:val="20"/>
          <w:lang w:eastAsia="zh-CN"/>
        </w:rPr>
        <w:t>Conclusion</w:t>
      </w:r>
    </w:p>
    <w:p w14:paraId="2F95AAEE"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af0"/>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31B89" w14:textId="77777777" w:rsidR="005E6E29" w:rsidRDefault="005E6E29" w:rsidP="005943EE">
      <w:pPr>
        <w:spacing w:after="0" w:line="240" w:lineRule="auto"/>
      </w:pPr>
      <w:r>
        <w:separator/>
      </w:r>
    </w:p>
  </w:endnote>
  <w:endnote w:type="continuationSeparator" w:id="0">
    <w:p w14:paraId="7907F30A" w14:textId="77777777" w:rsidR="005E6E29" w:rsidRDefault="005E6E29"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892D8" w14:textId="77777777" w:rsidR="005E6E29" w:rsidRDefault="005E6E29" w:rsidP="005943EE">
      <w:pPr>
        <w:spacing w:after="0" w:line="240" w:lineRule="auto"/>
      </w:pPr>
      <w:r>
        <w:separator/>
      </w:r>
    </w:p>
  </w:footnote>
  <w:footnote w:type="continuationSeparator" w:id="0">
    <w:p w14:paraId="3C4D1044" w14:textId="77777777" w:rsidR="005E6E29" w:rsidRDefault="005E6E29" w:rsidP="00594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7D4"/>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5E6E"/>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4F7A"/>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2E95"/>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E6E29"/>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5A3E"/>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8FD"/>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4ED"/>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3B45"/>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unhideWhenUsed/>
    <w:qFormat/>
    <w:pPr>
      <w:spacing w:after="120"/>
    </w:pPr>
  </w:style>
  <w:style w:type="paragraph" w:styleId="80">
    <w:name w:val="toc 8"/>
    <w:basedOn w:val="a"/>
    <w:next w:val="a"/>
    <w:uiPriority w:val="39"/>
    <w:semiHidden/>
    <w:unhideWhenUsed/>
    <w:qFormat/>
    <w:pPr>
      <w:spacing w:after="100"/>
      <w:ind w:left="1540"/>
    </w:p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table of figures"/>
    <w:basedOn w:val="a5"/>
    <w:next w:val="a"/>
    <w:uiPriority w:val="99"/>
    <w:qFormat/>
    <w:pPr>
      <w:ind w:left="1701" w:hanging="1701"/>
    </w:pPr>
    <w:rPr>
      <w:b/>
    </w:rPr>
  </w:style>
  <w:style w:type="paragraph" w:styleId="90">
    <w:name w:val="toc 9"/>
    <w:basedOn w:val="80"/>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0">
    <w:name w:val="Body Text 2"/>
    <w:basedOn w:val="a"/>
    <w:link w:val="2Char0"/>
    <w:uiPriority w:val="99"/>
    <w:semiHidden/>
    <w:unhideWhenUsed/>
    <w:qFormat/>
    <w:pPr>
      <w:spacing w:after="120" w:line="480"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pPr>
      <w:spacing w:after="12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Pr>
      <w:i/>
      <w:iCs/>
    </w:rPr>
  </w:style>
  <w:style w:type="character" w:styleId="ae">
    <w:name w:val="Hyperlink"/>
    <w:uiPriority w:val="99"/>
    <w:qFormat/>
    <w:rPr>
      <w:color w:val="0000FF"/>
      <w:u w:val="single"/>
    </w:rPr>
  </w:style>
  <w:style w:type="character" w:styleId="af">
    <w:name w:val="annotation reference"/>
    <w:basedOn w:val="a0"/>
    <w:unhideWhenUsed/>
    <w:qFormat/>
    <w:rPr>
      <w:sz w:val="18"/>
      <w:szCs w:val="18"/>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qFormat/>
  </w:style>
  <w:style w:type="paragraph" w:styleId="af0">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f0"/>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b"/>
    <w:uiPriority w:val="99"/>
    <w:semiHidden/>
    <w:qFormat/>
    <w:rPr>
      <w:rFonts w:eastAsia="Malgun Gothic"/>
      <w:b/>
      <w:bCs/>
      <w:kern w:val="2"/>
      <w:sz w:val="20"/>
      <w:lang w:eastAsia="ko-KR"/>
    </w:rPr>
  </w:style>
  <w:style w:type="table" w:customStyle="1" w:styleId="TableGrid2">
    <w:name w:val="Table Grid2"/>
    <w:basedOn w:val="a1"/>
    <w:uiPriority w:val="39"/>
    <w:qFormat/>
    <w:pPr>
      <w:spacing w:after="0" w:line="240" w:lineRule="auto"/>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before="120" w:after="0" w:line="280" w:lineRule="atLeast"/>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0" w:line="240" w:lineRule="auto"/>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uiPriority w:val="39"/>
    <w:qFormat/>
    <w:pPr>
      <w:spacing w:after="0" w:line="240" w:lineRule="auto"/>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ing1">
    <w:name w:val="Tdoc_Heading_1"/>
    <w:basedOn w:val="1"/>
    <w:next w:val="a5"/>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a5"/>
    <w:qFormat/>
    <w:pPr>
      <w:numPr>
        <w:numId w:val="7"/>
      </w:numPr>
      <w:spacing w:line="240" w:lineRule="auto"/>
      <w:ind w:left="567" w:hanging="567"/>
    </w:pPr>
    <w:rPr>
      <w:rFonts w:ascii="Times New Roman" w:eastAsia="MS Mincho" w:hAnsi="Times New Roman" w:cs="Times New Roman"/>
      <w:szCs w:val="24"/>
    </w:rPr>
  </w:style>
  <w:style w:type="character" w:customStyle="1" w:styleId="2Char0">
    <w:name w:val="正文文本 2 Char"/>
    <w:basedOn w:val="a0"/>
    <w:link w:val="20"/>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pPr>
      <w:spacing w:after="0" w:line="240" w:lineRule="auto"/>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6.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7.xml><?xml version="1.0" encoding="utf-8"?>
<ds:datastoreItem xmlns:ds="http://schemas.openxmlformats.org/officeDocument/2006/customXml" ds:itemID="{4AEB5FAC-B816-4619-BE1A-3D1E5C37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6419</Words>
  <Characters>36594</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Administrator</cp:lastModifiedBy>
  <cp:revision>2</cp:revision>
  <dcterms:created xsi:type="dcterms:W3CDTF">2021-08-25T03:00:00Z</dcterms:created>
  <dcterms:modified xsi:type="dcterms:W3CDTF">2021-08-25T03:00:00Z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