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Summary #3 of email discussions [106-e-NR-feMIMO-03]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E063E6" w:rsidRDefault="00E063E6">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E063E6" w:rsidRDefault="00E063E6">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A3256CB"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E063E6" w:rsidRDefault="00E063E6">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E063E6" w:rsidRDefault="00E063E6">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E063E6" w:rsidRDefault="00E063E6">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A3256CB"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E063E6" w:rsidRDefault="00E063E6">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E063E6" w:rsidRDefault="00E063E6">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E063E6" w:rsidRDefault="00E063E6">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E///, Futurewei,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E063E6" w:rsidRDefault="00E063E6">
                            <w:pPr>
                              <w:rPr>
                                <w:lang w:eastAsia="zh-CN"/>
                              </w:rPr>
                            </w:pPr>
                            <w:r>
                              <w:rPr>
                                <w:b/>
                                <w:bCs/>
                                <w:highlight w:val="green"/>
                                <w:lang w:val="en-GB" w:eastAsia="zh-CN"/>
                              </w:rPr>
                              <w:t>Agreement</w:t>
                            </w:r>
                          </w:p>
                          <w:p w14:paraId="0B8DBA47" w14:textId="77777777" w:rsidR="00E063E6" w:rsidRDefault="00E063E6">
                            <w:pPr>
                              <w:rPr>
                                <w:lang w:eastAsia="zh-CN"/>
                              </w:rPr>
                            </w:pPr>
                            <w:r>
                              <w:rPr>
                                <w:lang w:val="en-GB" w:eastAsia="zh-CN"/>
                              </w:rPr>
                              <w:t xml:space="preserve">When two SS sets are linked for PDCCH repetition, they do not contain individual PDCCH candidates. </w:t>
                            </w:r>
                          </w:p>
                          <w:p w14:paraId="572FE97E" w14:textId="77777777" w:rsidR="00E063E6" w:rsidRDefault="00E063E6">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E063E6" w:rsidRDefault="00E063E6">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E063E6" w:rsidRDefault="00E063E6">
                      <w:pPr>
                        <w:rPr>
                          <w:lang w:eastAsia="zh-CN"/>
                        </w:rPr>
                      </w:pPr>
                      <w:r>
                        <w:rPr>
                          <w:b/>
                          <w:bCs/>
                          <w:highlight w:val="green"/>
                          <w:lang w:val="en-GB" w:eastAsia="zh-CN"/>
                        </w:rPr>
                        <w:t>Agreement</w:t>
                      </w:r>
                    </w:p>
                    <w:p w14:paraId="0B8DBA47" w14:textId="77777777" w:rsidR="00E063E6" w:rsidRDefault="00E063E6">
                      <w:pPr>
                        <w:rPr>
                          <w:lang w:eastAsia="zh-CN"/>
                        </w:rPr>
                      </w:pPr>
                      <w:r>
                        <w:rPr>
                          <w:lang w:val="en-GB" w:eastAsia="zh-CN"/>
                        </w:rPr>
                        <w:t xml:space="preserve">When two SS sets are linked for PDCCH repetition, they do not contain individual PDCCH candidates. </w:t>
                      </w:r>
                    </w:p>
                    <w:p w14:paraId="572FE97E" w14:textId="77777777" w:rsidR="00E063E6" w:rsidRDefault="00E063E6">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E063E6" w:rsidRDefault="00E063E6">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proofErr w:type="gramStart"/>
      <w:r>
        <w:rPr>
          <w:rFonts w:eastAsia="DengXian"/>
          <w:lang w:val="en-US"/>
        </w:rPr>
        <w:t>Reuses</w:t>
      </w:r>
      <w:proofErr w:type="gramEnd"/>
      <w:r>
        <w:rPr>
          <w:rFonts w:eastAsia="DengXian"/>
          <w:lang w:val="en-US"/>
        </w:rPr>
        <w:t xml:space="preserve">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DengXian"/>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 xml:space="preserve">If we use “not counted for monitoring” here, the UE </w:t>
            </w:r>
            <w:proofErr w:type="gramStart"/>
            <w:r>
              <w:rPr>
                <w:sz w:val="20"/>
                <w:szCs w:val="20"/>
                <w:lang w:eastAsia="zh-CN"/>
              </w:rPr>
              <w:t>has to</w:t>
            </w:r>
            <w:proofErr w:type="gramEnd"/>
            <w:r>
              <w:rPr>
                <w:sz w:val="20"/>
                <w:szCs w:val="20"/>
                <w:lang w:eastAsia="zh-CN"/>
              </w:rPr>
              <w:t xml:space="preserve">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w:t>
            </w:r>
            <w:proofErr w:type="gramStart"/>
            <w:r>
              <w:rPr>
                <w:rFonts w:eastAsia="Malgun Gothic"/>
                <w:sz w:val="20"/>
                <w:szCs w:val="20"/>
                <w:lang w:eastAsia="ko-KR"/>
              </w:rPr>
              <w:t>rule, and</w:t>
            </w:r>
            <w:proofErr w:type="gramEnd"/>
            <w:r>
              <w:rPr>
                <w:rFonts w:eastAsia="Malgun Gothic"/>
                <w:sz w:val="20"/>
                <w:szCs w:val="20"/>
                <w:lang w:eastAsia="ko-KR"/>
              </w:rPr>
              <w:t xml:space="preserve"> based on proper configuration of SS set ID from </w:t>
            </w:r>
            <w:proofErr w:type="spellStart"/>
            <w:r>
              <w:rPr>
                <w:rFonts w:eastAsia="Malgun Gothic"/>
                <w:sz w:val="20"/>
                <w:szCs w:val="20"/>
                <w:lang w:eastAsia="ko-KR"/>
              </w:rPr>
              <w:t>gNB</w:t>
            </w:r>
            <w:proofErr w:type="spellEnd"/>
            <w:r>
              <w:rPr>
                <w:rFonts w:eastAsia="Malgun Gothic"/>
                <w:sz w:val="20"/>
                <w:szCs w:val="20"/>
                <w:lang w:eastAsia="ko-KR"/>
              </w:rPr>
              <w:t xml:space="preserve">,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Option 2 provides more flexibility to </w:t>
            </w:r>
            <w:proofErr w:type="spellStart"/>
            <w:r>
              <w:rPr>
                <w:rFonts w:eastAsia="SimSun"/>
                <w:sz w:val="20"/>
                <w:szCs w:val="20"/>
                <w:lang w:val="en-US" w:eastAsia="zh-CN"/>
              </w:rPr>
              <w:t>gNB</w:t>
            </w:r>
            <w:proofErr w:type="spellEnd"/>
            <w:r>
              <w:rPr>
                <w:rFonts w:eastAsia="SimSun"/>
                <w:sz w:val="20"/>
                <w:szCs w:val="20"/>
                <w:lang w:val="en-US" w:eastAsia="zh-CN"/>
              </w:rPr>
              <w:t xml:space="preserve">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w:t>
            </w:r>
            <w:proofErr w:type="gramStart"/>
            <w:r>
              <w:rPr>
                <w:rFonts w:eastAsia="SimSun"/>
                <w:sz w:val="20"/>
                <w:szCs w:val="20"/>
                <w:lang w:val="en-US" w:eastAsia="zh-CN"/>
              </w:rPr>
              <w:t>candidate</w:t>
            </w:r>
            <w:proofErr w:type="gramEnd"/>
            <w:r>
              <w:rPr>
                <w:rFonts w:eastAsia="SimSun"/>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 xml:space="preserve">Q1: @MediaTek: Thanks a lot for explanation. We don’t think with “not counted for monitoring” means UE </w:t>
            </w:r>
            <w:proofErr w:type="gramStart"/>
            <w:r>
              <w:rPr>
                <w:sz w:val="20"/>
                <w:szCs w:val="20"/>
                <w:lang w:eastAsia="zh-CN"/>
              </w:rPr>
              <w:t>has to</w:t>
            </w:r>
            <w:proofErr w:type="gramEnd"/>
            <w:r>
              <w:rPr>
                <w:sz w:val="20"/>
                <w:szCs w:val="20"/>
                <w:lang w:eastAsia="zh-CN"/>
              </w:rPr>
              <w:t xml:space="preserve">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 xml:space="preserve">The UE still needs to monitor the </w:t>
                  </w:r>
                  <w:proofErr w:type="gramStart"/>
                  <w:r>
                    <w:rPr>
                      <w:sz w:val="20"/>
                      <w:szCs w:val="20"/>
                    </w:rPr>
                    <w:t>candidate</w:t>
                  </w:r>
                  <w:proofErr w:type="gramEnd"/>
                  <w:r>
                    <w:rPr>
                      <w:sz w:val="20"/>
                      <w:szCs w:val="20"/>
                    </w:rPr>
                    <w:t xml:space="preserv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 xml:space="preserve">Thus, the UE </w:t>
            </w:r>
            <w:proofErr w:type="gramStart"/>
            <w:r>
              <w:rPr>
                <w:sz w:val="20"/>
                <w:szCs w:val="20"/>
                <w:lang w:eastAsia="zh-CN"/>
              </w:rPr>
              <w:t>has to</w:t>
            </w:r>
            <w:proofErr w:type="gramEnd"/>
            <w:r>
              <w:rPr>
                <w:sz w:val="20"/>
                <w:szCs w:val="20"/>
                <w:lang w:eastAsia="zh-CN"/>
              </w:rPr>
              <w:t xml:space="preserve">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w:t>
            </w:r>
            <w:proofErr w:type="gramStart"/>
            <w:r>
              <w:rPr>
                <w:sz w:val="20"/>
                <w:szCs w:val="20"/>
                <w:lang w:eastAsia="zh-CN"/>
              </w:rPr>
              <w:t>e.g.</w:t>
            </w:r>
            <w:proofErr w:type="gramEnd"/>
            <w:r>
              <w:rPr>
                <w:sz w:val="20"/>
                <w:szCs w:val="20"/>
                <w:lang w:eastAsia="zh-CN"/>
              </w:rPr>
              <w:t xml:space="preserve">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w:t>
            </w:r>
            <w:proofErr w:type="gramStart"/>
            <w:r>
              <w:rPr>
                <w:sz w:val="20"/>
                <w:szCs w:val="20"/>
                <w:lang w:eastAsia="zh-CN"/>
              </w:rPr>
              <w:t>have to</w:t>
            </w:r>
            <w:proofErr w:type="gramEnd"/>
            <w:r>
              <w:rPr>
                <w:sz w:val="20"/>
                <w:szCs w:val="20"/>
                <w:lang w:eastAsia="zh-CN"/>
              </w:rPr>
              <w:t xml:space="preserve">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 xml:space="preserve">As I mentioned several times, if we use “not counted for monitoring”, the UE </w:t>
            </w:r>
            <w:proofErr w:type="gramStart"/>
            <w:r>
              <w:rPr>
                <w:sz w:val="20"/>
                <w:szCs w:val="20"/>
                <w:lang w:eastAsia="zh-CN"/>
              </w:rPr>
              <w:t>has to</w:t>
            </w:r>
            <w:proofErr w:type="gramEnd"/>
            <w:r>
              <w:rPr>
                <w:sz w:val="20"/>
                <w:szCs w:val="20"/>
                <w:lang w:eastAsia="zh-CN"/>
              </w:rPr>
              <w:t xml:space="preserve">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DengXian" w:hAnsi="Times New Roman" w:cs="Times New Roman"/>
          <w:b/>
          <w:bCs/>
          <w:i/>
          <w:iCs/>
          <w:color w:val="FF0000"/>
          <w:kern w:val="32"/>
          <w:sz w:val="24"/>
          <w:szCs w:val="24"/>
          <w:lang w:val="en-GB" w:eastAsia="zh-CN"/>
        </w:rPr>
        <w:t>wrt</w:t>
      </w:r>
      <w:proofErr w:type="spellEnd"/>
      <w:r>
        <w:rPr>
          <w:rFonts w:ascii="Times New Roman" w:eastAsia="DengXian"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till prefer Option 2. As we mentioned, Option 1 can be made by Option 2 based on appropriate </w:t>
            </w:r>
            <w:proofErr w:type="spellStart"/>
            <w:r>
              <w:rPr>
                <w:rFonts w:eastAsia="Malgun Gothic"/>
                <w:sz w:val="20"/>
                <w:szCs w:val="20"/>
                <w:lang w:eastAsia="ko-KR"/>
              </w:rPr>
              <w:t>gNB</w:t>
            </w:r>
            <w:proofErr w:type="spellEnd"/>
            <w:r>
              <w:rPr>
                <w:rFonts w:eastAsia="Malgun Gothic"/>
                <w:sz w:val="20"/>
                <w:szCs w:val="20"/>
                <w:lang w:eastAsia="ko-KR"/>
              </w:rPr>
              <w:t xml:space="preserve">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 xml:space="preserve">Do you think it is reasonable to “not count BD” even if the UE </w:t>
            </w:r>
            <w:proofErr w:type="gramStart"/>
            <w:r>
              <w:rPr>
                <w:sz w:val="20"/>
                <w:szCs w:val="20"/>
                <w:lang w:eastAsia="zh-CN"/>
              </w:rPr>
              <w:t>has to</w:t>
            </w:r>
            <w:proofErr w:type="gramEnd"/>
            <w:r>
              <w:rPr>
                <w:sz w:val="20"/>
                <w:szCs w:val="20"/>
                <w:lang w:eastAsia="zh-CN"/>
              </w:rPr>
              <w:t xml:space="preserve">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14:paraId="32CA4BF2" w14:textId="77777777"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t>
            </w:r>
            <w:proofErr w:type="spellStart"/>
            <w:r>
              <w:rPr>
                <w:rFonts w:eastAsia="DengXian"/>
                <w:b/>
                <w:bCs/>
                <w:i/>
                <w:iCs/>
                <w:kern w:val="32"/>
                <w:sz w:val="24"/>
                <w:szCs w:val="24"/>
                <w:lang w:val="en-GB" w:eastAsia="zh-CN"/>
              </w:rPr>
              <w:t>wrt</w:t>
            </w:r>
            <w:proofErr w:type="spellEnd"/>
            <w:r>
              <w:rPr>
                <w:rFonts w:eastAsia="DengXian"/>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w:t>
            </w:r>
            <w:proofErr w:type="gramStart"/>
            <w:r>
              <w:rPr>
                <w:sz w:val="20"/>
                <w:szCs w:val="20"/>
                <w:lang w:eastAsia="zh-CN"/>
              </w:rPr>
              <w:t>first priority</w:t>
            </w:r>
            <w:proofErr w:type="gramEnd"/>
            <w:r>
              <w:rPr>
                <w:sz w:val="20"/>
                <w:szCs w:val="20"/>
                <w:lang w:eastAsia="zh-CN"/>
              </w:rPr>
              <w:t xml:space="preserve">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w:t>
            </w:r>
            <w:proofErr w:type="gramStart"/>
            <w:r>
              <w:rPr>
                <w:sz w:val="20"/>
                <w:szCs w:val="20"/>
                <w:lang w:eastAsia="zh-CN"/>
              </w:rPr>
              <w:t>slot, and</w:t>
            </w:r>
            <w:proofErr w:type="gramEnd"/>
            <w:r>
              <w:rPr>
                <w:sz w:val="20"/>
                <w:szCs w:val="20"/>
                <w:lang w:eastAsia="zh-CN"/>
              </w:rPr>
              <w:t xml:space="preserve">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 xml:space="preserve">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w:t>
            </w:r>
            <w:proofErr w:type="gramStart"/>
            <w:r>
              <w:rPr>
                <w:color w:val="1F497D"/>
                <w:sz w:val="20"/>
                <w:szCs w:val="20"/>
              </w:rPr>
              <w:t>options-2</w:t>
            </w:r>
            <w:proofErr w:type="gramEnd"/>
            <w:r>
              <w:rPr>
                <w:color w:val="1F497D"/>
                <w:sz w:val="20"/>
                <w:szCs w:val="20"/>
              </w:rPr>
              <w:t>/3.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w:t>
            </w:r>
            <w:proofErr w:type="gramStart"/>
            <w:r>
              <w:rPr>
                <w:color w:val="1F497D"/>
                <w:sz w:val="20"/>
                <w:szCs w:val="20"/>
              </w:rPr>
              <w:t>e.g.</w:t>
            </w:r>
            <w:proofErr w:type="gramEnd"/>
            <w:r>
              <w:rPr>
                <w:color w:val="1F497D"/>
                <w:sz w:val="20"/>
                <w:szCs w:val="20"/>
              </w:rPr>
              <w:t xml:space="preserve">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because </w:t>
            </w:r>
            <w:proofErr w:type="spellStart"/>
            <w:r>
              <w:rPr>
                <w:color w:val="1F497D"/>
                <w:sz w:val="20"/>
                <w:szCs w:val="20"/>
              </w:rPr>
              <w:t>gNB</w:t>
            </w:r>
            <w:proofErr w:type="spellEnd"/>
            <w:r>
              <w:rPr>
                <w:color w:val="1F497D"/>
                <w:sz w:val="20"/>
                <w:szCs w:val="20"/>
              </w:rPr>
              <w:t xml:space="preserve">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as </w:t>
            </w:r>
            <w:proofErr w:type="spellStart"/>
            <w:r>
              <w:rPr>
                <w:color w:val="1F497D"/>
                <w:sz w:val="20"/>
                <w:szCs w:val="20"/>
              </w:rPr>
              <w:t>gNB</w:t>
            </w:r>
            <w:proofErr w:type="spellEnd"/>
            <w:r>
              <w:rPr>
                <w:color w:val="1F497D"/>
                <w:sz w:val="20"/>
                <w:szCs w:val="20"/>
              </w:rPr>
              <w:t xml:space="preserve">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w:t>
            </w:r>
            <w:proofErr w:type="gramStart"/>
            <w:r>
              <w:rPr>
                <w:color w:val="1F497D"/>
                <w:sz w:val="20"/>
                <w:szCs w:val="20"/>
              </w:rPr>
              <w:t>e.g.</w:t>
            </w:r>
            <w:proofErr w:type="gramEnd"/>
            <w:r>
              <w:rPr>
                <w:color w:val="1F497D"/>
                <w:sz w:val="20"/>
                <w:szCs w:val="20"/>
              </w:rPr>
              <w:t xml:space="preserve">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w:t>
      </w:r>
      <w:proofErr w:type="spellStart"/>
      <w:r>
        <w:rPr>
          <w:rFonts w:ascii="Times New Roman" w:hAnsi="Times New Roman" w:cs="Times New Roman"/>
          <w:lang w:eastAsia="zh-CN"/>
        </w:rPr>
        <w:t>theses</w:t>
      </w:r>
      <w:proofErr w:type="spellEnd"/>
      <w:r>
        <w:rPr>
          <w:rFonts w:ascii="Times New Roman" w:hAnsi="Times New Roman" w:cs="Times New Roman"/>
          <w:lang w:eastAsia="zh-CN"/>
        </w:rPr>
        <w:t xml:space="preserve">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xml:space="preserve">: Which of the cases above are possible with all decoding assumptions (since </w:t>
      </w:r>
      <w:proofErr w:type="spellStart"/>
      <w:r>
        <w:rPr>
          <w:rFonts w:ascii="Times New Roman" w:hAnsi="Times New Roman" w:cs="Times New Roman"/>
          <w:b/>
          <w:bCs/>
          <w:lang w:val="en-GB" w:eastAsia="zh-CN"/>
        </w:rPr>
        <w:t>gNB</w:t>
      </w:r>
      <w:proofErr w:type="spellEnd"/>
      <w:r>
        <w:rPr>
          <w:rFonts w:ascii="Times New Roman" w:hAnsi="Times New Roman" w:cs="Times New Roman"/>
          <w:b/>
          <w:bCs/>
          <w:lang w:val="en-GB" w:eastAsia="zh-CN"/>
        </w:rPr>
        <w:t xml:space="preserve">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 xml:space="preserve">Can </w:t>
      </w:r>
      <w:proofErr w:type="spellStart"/>
      <w:r>
        <w:rPr>
          <w:b/>
          <w:bCs/>
          <w:sz w:val="22"/>
          <w:szCs w:val="22"/>
          <w:lang w:val="en-US" w:eastAsia="zh-CN"/>
        </w:rPr>
        <w:t>gNB</w:t>
      </w:r>
      <w:proofErr w:type="spellEnd"/>
      <w:r>
        <w:rPr>
          <w:b/>
          <w:bCs/>
          <w:sz w:val="22"/>
          <w:szCs w:val="22"/>
          <w:lang w:val="en-US" w:eastAsia="zh-CN"/>
        </w:rPr>
        <w:t xml:space="preserve">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 xml:space="preserve">@FL: yes agree, there are now 3 issues for overlapping candidates a) BD counting b) monitoring c) reference timing. For reference timing I agree </w:t>
            </w:r>
            <w:proofErr w:type="spellStart"/>
            <w:r>
              <w:rPr>
                <w:sz w:val="20"/>
                <w:szCs w:val="20"/>
                <w:lang w:eastAsia="zh-CN"/>
              </w:rPr>
              <w:t>its</w:t>
            </w:r>
            <w:proofErr w:type="spellEnd"/>
            <w:r>
              <w:rPr>
                <w:sz w:val="20"/>
                <w:szCs w:val="20"/>
                <w:lang w:eastAsia="zh-CN"/>
              </w:rPr>
              <w:t xml:space="preserve">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w:t>
            </w:r>
            <w:proofErr w:type="spellStart"/>
            <w:r>
              <w:rPr>
                <w:sz w:val="20"/>
                <w:szCs w:val="20"/>
                <w:lang w:eastAsia="zh-CN"/>
              </w:rPr>
              <w:t>gNB</w:t>
            </w:r>
            <w:proofErr w:type="spellEnd"/>
            <w:r>
              <w:rPr>
                <w:sz w:val="20"/>
                <w:szCs w:val="20"/>
                <w:lang w:eastAsia="zh-CN"/>
              </w:rPr>
              <w:t xml:space="preserve">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w:t>
            </w:r>
            <w:proofErr w:type="spellStart"/>
            <w:r>
              <w:rPr>
                <w:sz w:val="20"/>
                <w:szCs w:val="20"/>
                <w:lang w:eastAsia="zh-CN"/>
              </w:rPr>
              <w:t>lets</w:t>
            </w:r>
            <w:proofErr w:type="spellEnd"/>
            <w:r>
              <w:rPr>
                <w:sz w:val="20"/>
                <w:szCs w:val="20"/>
                <w:lang w:eastAsia="zh-CN"/>
              </w:rPr>
              <w:t xml:space="preserve"> say 10 for each TRP, then we expect for AL8, and AL16 we would typically just have 1 or 2 candidates, e.g. M</w:t>
            </w:r>
            <w:proofErr w:type="gramStart"/>
            <w:r>
              <w:rPr>
                <w:sz w:val="20"/>
                <w:szCs w:val="20"/>
                <w:lang w:eastAsia="zh-CN"/>
              </w:rPr>
              <w:t>=[</w:t>
            </w:r>
            <w:proofErr w:type="gramEnd"/>
            <w:r>
              <w:rPr>
                <w:sz w:val="20"/>
                <w:szCs w:val="20"/>
                <w:lang w:eastAsia="zh-CN"/>
              </w:rPr>
              <w:t xml:space="preserve">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 xml:space="preserve">Q2: We think both case 2 and 3 should be possible for all decoding assumption. Case 1 and 4 may require additional complexity if </w:t>
            </w:r>
            <w:proofErr w:type="gramStart"/>
            <w:r>
              <w:rPr>
                <w:rFonts w:eastAsia="Malgun Gothic"/>
                <w:sz w:val="20"/>
                <w:szCs w:val="20"/>
                <w:lang w:eastAsia="zh-CN"/>
              </w:rPr>
              <w:t>soft-combining</w:t>
            </w:r>
            <w:proofErr w:type="gramEnd"/>
            <w:r>
              <w:rPr>
                <w:rFonts w:eastAsia="Malgun Gothic"/>
                <w:sz w:val="20"/>
                <w:szCs w:val="20"/>
                <w:lang w:eastAsia="zh-CN"/>
              </w:rPr>
              <w:t xml:space="preserve">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ko-KR"/>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 xml:space="preserve">@Intel: I get the point on BD benefit (above can address CCE sharing to a good extend), but we </w:t>
            </w:r>
            <w:proofErr w:type="gramStart"/>
            <w:r>
              <w:rPr>
                <w:rFonts w:eastAsia="Malgun Gothic"/>
                <w:sz w:val="20"/>
                <w:szCs w:val="20"/>
                <w:lang w:eastAsia="zh-CN"/>
              </w:rPr>
              <w:t>have to</w:t>
            </w:r>
            <w:proofErr w:type="gramEnd"/>
            <w:r>
              <w:rPr>
                <w:rFonts w:eastAsia="Malgun Gothic"/>
                <w:sz w:val="20"/>
                <w:szCs w:val="20"/>
                <w:lang w:eastAsia="zh-CN"/>
              </w:rPr>
              <w:t xml:space="preserve"> consider the complexity and simplicity as well. In FR2 there will be more candidates per unit of time, and in addition, there is typically no shortage of BDs given that UEs need to be </w:t>
            </w:r>
            <w:proofErr w:type="spellStart"/>
            <w:r>
              <w:rPr>
                <w:rFonts w:eastAsia="Malgun Gothic"/>
                <w:sz w:val="20"/>
                <w:szCs w:val="20"/>
                <w:lang w:eastAsia="zh-CN"/>
              </w:rPr>
              <w:t>TDMed</w:t>
            </w:r>
            <w:proofErr w:type="spellEnd"/>
            <w:r>
              <w:rPr>
                <w:rFonts w:eastAsia="Malgun Gothic"/>
                <w:sz w:val="20"/>
                <w:szCs w:val="20"/>
                <w:lang w:eastAsia="zh-CN"/>
              </w:rPr>
              <w:t xml:space="preserve"> to some extend due to analog beamforming and </w:t>
            </w:r>
            <w:proofErr w:type="spellStart"/>
            <w:r>
              <w:rPr>
                <w:rFonts w:eastAsia="Malgun Gothic"/>
                <w:sz w:val="20"/>
                <w:szCs w:val="20"/>
                <w:lang w:eastAsia="zh-CN"/>
              </w:rPr>
              <w:t>gNB</w:t>
            </w:r>
            <w:proofErr w:type="spellEnd"/>
            <w:r>
              <w:rPr>
                <w:rFonts w:eastAsia="Malgun Gothic"/>
                <w:sz w:val="20"/>
                <w:szCs w:val="20"/>
                <w:lang w:eastAsia="zh-CN"/>
              </w:rPr>
              <w:t xml:space="preserve">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 xml:space="preserve">Q3: At least Case 1 and 4 as both individual and linked candidates are </w:t>
            </w:r>
            <w:proofErr w:type="gramStart"/>
            <w:r>
              <w:rPr>
                <w:rFonts w:eastAsia="Malgun Gothic"/>
                <w:sz w:val="20"/>
                <w:szCs w:val="20"/>
                <w:lang w:eastAsia="ko-KR"/>
              </w:rPr>
              <w:t>monitored</w:t>
            </w:r>
            <w:proofErr w:type="gramEnd"/>
            <w:r>
              <w:rPr>
                <w:rFonts w:eastAsia="Malgun Gothic"/>
                <w:sz w:val="20"/>
                <w:szCs w:val="20"/>
                <w:lang w:eastAsia="ko-KR"/>
              </w:rPr>
              <w:t xml:space="preserve">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w:t>
            </w:r>
            <w:proofErr w:type="spellStart"/>
            <w:r>
              <w:rPr>
                <w:rFonts w:eastAsia="Malgun Gothic"/>
                <w:sz w:val="20"/>
                <w:szCs w:val="20"/>
                <w:lang w:eastAsia="zh-CN"/>
              </w:rPr>
              <w:t>MotM</w:t>
            </w:r>
            <w:proofErr w:type="spellEnd"/>
            <w:r>
              <w:rPr>
                <w:rFonts w:eastAsia="Malgun Gothic"/>
                <w:sz w:val="20"/>
                <w:szCs w:val="20"/>
                <w:lang w:eastAsia="zh-CN"/>
              </w:rPr>
              <w:t>.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 xml:space="preserve">2BD does not means selective decoding. UE can use 3 different decoding assumption 1-3 which we already discussed. The </w:t>
            </w:r>
            <w:proofErr w:type="spellStart"/>
            <w:r>
              <w:rPr>
                <w:rFonts w:eastAsia="Malgun Gothic"/>
                <w:sz w:val="20"/>
                <w:szCs w:val="20"/>
                <w:lang w:eastAsia="zh-CN"/>
              </w:rPr>
              <w:t>gNB</w:t>
            </w:r>
            <w:proofErr w:type="spellEnd"/>
            <w:r>
              <w:rPr>
                <w:rFonts w:eastAsia="Malgun Gothic"/>
                <w:sz w:val="20"/>
                <w:szCs w:val="20"/>
                <w:lang w:eastAsia="zh-CN"/>
              </w:rPr>
              <w:t xml:space="preserve">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 xml:space="preserve">preference is case 2 which is the simplest solution. Second preference is case 3 with UE capability because UE needs to recalculation of BD even for dropped candidates. This is new </w:t>
            </w:r>
            <w:proofErr w:type="spellStart"/>
            <w:r w:rsidRPr="00FC6AC3">
              <w:rPr>
                <w:rFonts w:eastAsia="Malgun Gothic"/>
                <w:sz w:val="20"/>
                <w:szCs w:val="20"/>
                <w:lang w:eastAsia="zh-CN"/>
              </w:rPr>
              <w:t>behaviour</w:t>
            </w:r>
            <w:proofErr w:type="spellEnd"/>
            <w:r w:rsidRPr="00FC6AC3">
              <w:rPr>
                <w:rFonts w:eastAsia="Malgun Gothic"/>
                <w:sz w:val="20"/>
                <w:szCs w:val="20"/>
                <w:lang w:eastAsia="zh-CN"/>
              </w:rPr>
              <w:t>.</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 xml:space="preserve">correctly counted even if the UE </w:t>
            </w:r>
            <w:proofErr w:type="gramStart"/>
            <w:r w:rsidRPr="00FC6AC3">
              <w:rPr>
                <w:rFonts w:eastAsia="Malgun Gothic"/>
                <w:sz w:val="20"/>
                <w:szCs w:val="20"/>
                <w:lang w:eastAsia="zh-CN"/>
              </w:rPr>
              <w:t>has to</w:t>
            </w:r>
            <w:proofErr w:type="gramEnd"/>
            <w:r w:rsidRPr="00FC6AC3">
              <w:rPr>
                <w:rFonts w:eastAsia="Malgun Gothic"/>
                <w:sz w:val="20"/>
                <w:szCs w:val="20"/>
                <w:lang w:eastAsia="zh-CN"/>
              </w:rPr>
              <w:t xml:space="preserve">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 xml:space="preserve">he </w:t>
            </w:r>
            <w:proofErr w:type="spellStart"/>
            <w:r w:rsidRPr="00FC6AC3">
              <w:rPr>
                <w:rFonts w:eastAsia="Malgun Gothic"/>
                <w:sz w:val="20"/>
                <w:szCs w:val="20"/>
                <w:lang w:eastAsia="zh-CN"/>
              </w:rPr>
              <w:t>gNB</w:t>
            </w:r>
            <w:proofErr w:type="spellEnd"/>
            <w:r w:rsidRPr="00FC6AC3">
              <w:rPr>
                <w:rFonts w:eastAsia="Malgun Gothic"/>
                <w:sz w:val="20"/>
                <w:szCs w:val="20"/>
                <w:lang w:eastAsia="zh-CN"/>
              </w:rPr>
              <w:t xml:space="preserve"> can always use not fully overlapped candidates if they want dynamic switching. We cannot find very useful scenarios for the fully overlapped candidates with the same size between individual candidates and one of linked candidates. For the question, yes, </w:t>
            </w:r>
            <w:proofErr w:type="spellStart"/>
            <w:r w:rsidRPr="00FC6AC3">
              <w:rPr>
                <w:rFonts w:eastAsia="Malgun Gothic"/>
                <w:sz w:val="20"/>
                <w:szCs w:val="20"/>
                <w:lang w:eastAsia="zh-CN"/>
              </w:rPr>
              <w:t>gNB</w:t>
            </w:r>
            <w:proofErr w:type="spellEnd"/>
            <w:r w:rsidRPr="00FC6AC3">
              <w:rPr>
                <w:rFonts w:eastAsia="Malgun Gothic"/>
                <w:sz w:val="20"/>
                <w:szCs w:val="20"/>
                <w:lang w:eastAsia="zh-CN"/>
              </w:rPr>
              <w:t xml:space="preserve">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Futurewei</w:t>
            </w:r>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w:t>
            </w:r>
            <w:proofErr w:type="gramStart"/>
            <w:r>
              <w:rPr>
                <w:rFonts w:eastAsia="Malgun Gothic"/>
                <w:sz w:val="20"/>
                <w:szCs w:val="20"/>
                <w:lang w:eastAsia="zh-CN"/>
              </w:rPr>
              <w:t>3BD, and</w:t>
            </w:r>
            <w:proofErr w:type="gramEnd"/>
            <w:r>
              <w:rPr>
                <w:rFonts w:eastAsia="Malgun Gothic"/>
                <w:sz w:val="20"/>
                <w:szCs w:val="20"/>
                <w:lang w:eastAsia="zh-CN"/>
              </w:rPr>
              <w:t xml:space="preserve">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bl>
    <w:p w14:paraId="52EBACDC" w14:textId="77777777" w:rsidR="00DF4D92" w:rsidRDefault="00DF4D92">
      <w:pPr>
        <w:rPr>
          <w:b/>
          <w:bCs/>
          <w:lang w:eastAsia="zh-CN"/>
        </w:rPr>
      </w:pPr>
    </w:p>
    <w:p w14:paraId="3653654A" w14:textId="77777777" w:rsidR="00DF4D92" w:rsidRDefault="00DF4D92">
      <w:pPr>
        <w:pStyle w:val="ListParagraph"/>
        <w:ind w:left="720" w:firstLineChars="0" w:firstLine="0"/>
        <w:rPr>
          <w:rFonts w:eastAsiaTheme="minorEastAsia"/>
          <w:b/>
          <w:bCs/>
          <w:sz w:val="22"/>
          <w:szCs w:val="22"/>
          <w:lang w:val="en-US" w:eastAsia="zh-CN"/>
        </w:rPr>
      </w:pPr>
    </w:p>
    <w:p w14:paraId="38619AE7" w14:textId="77777777" w:rsidR="00DF4D92" w:rsidRDefault="00DF4D92">
      <w:pPr>
        <w:pStyle w:val="ListParagraph"/>
        <w:ind w:left="720" w:firstLineChars="0" w:firstLine="0"/>
        <w:rPr>
          <w:rFonts w:eastAsiaTheme="minorEastAsia"/>
          <w:b/>
          <w:bCs/>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01C869C4" w14:textId="77777777"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lastRenderedPageBreak/>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2CB392C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DengXian" w:hAnsi="Times New Roman" w:cs="Times New Roman"/>
          <w:kern w:val="32"/>
          <w:sz w:val="20"/>
          <w:szCs w:val="20"/>
          <w:lang w:eastAsia="zh-CN"/>
        </w:rPr>
        <w:t>wrt</w:t>
      </w:r>
      <w:proofErr w:type="spellEnd"/>
      <w:r>
        <w:rPr>
          <w:rFonts w:ascii="Times New Roman" w:eastAsia="DengXian"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 xml:space="preserve">Case 2: Overlap with rate matching resources: </w:t>
      </w:r>
      <w:proofErr w:type="spellStart"/>
      <w:r>
        <w:rPr>
          <w:rFonts w:ascii="Times New Roman" w:eastAsia="DengXian" w:hAnsi="Times New Roman" w:cs="Times New Roman"/>
          <w:kern w:val="32"/>
          <w:sz w:val="20"/>
          <w:szCs w:val="20"/>
          <w:lang w:eastAsia="zh-CN"/>
        </w:rPr>
        <w:t>RateMatchPattern</w:t>
      </w:r>
      <w:proofErr w:type="spellEnd"/>
      <w:r>
        <w:rPr>
          <w:rFonts w:ascii="Times New Roman" w:eastAsia="DengXian" w:hAnsi="Times New Roman" w:cs="Times New Roman"/>
          <w:kern w:val="32"/>
          <w:sz w:val="20"/>
          <w:szCs w:val="20"/>
          <w:lang w:eastAsia="zh-CN"/>
        </w:rPr>
        <w:t xml:space="preserve">, </w:t>
      </w:r>
      <w:proofErr w:type="spellStart"/>
      <w:r>
        <w:rPr>
          <w:rFonts w:ascii="Times New Roman" w:eastAsia="DengXian" w:hAnsi="Times New Roman" w:cs="Times New Roman"/>
          <w:kern w:val="32"/>
          <w:sz w:val="20"/>
          <w:szCs w:val="20"/>
          <w:lang w:eastAsia="zh-CN"/>
        </w:rPr>
        <w:t>lte</w:t>
      </w:r>
      <w:proofErr w:type="spellEnd"/>
      <w:r>
        <w:rPr>
          <w:rFonts w:ascii="Times New Roman" w:eastAsia="DengXian" w:hAnsi="Times New Roman" w:cs="Times New Roman"/>
          <w:kern w:val="32"/>
          <w:sz w:val="20"/>
          <w:szCs w:val="20"/>
          <w:lang w:eastAsia="zh-CN"/>
        </w:rPr>
        <w:t>-CRS-</w:t>
      </w:r>
      <w:proofErr w:type="spellStart"/>
      <w:r>
        <w:rPr>
          <w:rFonts w:ascii="Times New Roman" w:eastAsia="DengXian" w:hAnsi="Times New Roman" w:cs="Times New Roman"/>
          <w:kern w:val="32"/>
          <w:sz w:val="20"/>
          <w:szCs w:val="20"/>
          <w:lang w:eastAsia="zh-CN"/>
        </w:rPr>
        <w:t>ToMatchAround</w:t>
      </w:r>
      <w:proofErr w:type="spellEnd"/>
      <w:r>
        <w:rPr>
          <w:rFonts w:ascii="Times New Roman" w:eastAsia="DengXian"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w:t>
      </w:r>
      <w:proofErr w:type="spellStart"/>
      <w:r>
        <w:rPr>
          <w:rFonts w:ascii="Times New Roman" w:eastAsia="DengXian" w:hAnsi="Times New Roman" w:cs="Times New Roman"/>
          <w:kern w:val="32"/>
          <w:sz w:val="20"/>
          <w:szCs w:val="20"/>
          <w:lang w:eastAsia="zh-CN"/>
        </w:rPr>
        <w:t>TypeD</w:t>
      </w:r>
      <w:proofErr w:type="spellEnd"/>
      <w:r>
        <w:rPr>
          <w:rFonts w:ascii="Times New Roman" w:eastAsia="DengXian"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lastRenderedPageBreak/>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w:t>
      </w:r>
      <w:proofErr w:type="gramStart"/>
      <w:r>
        <w:rPr>
          <w:bCs/>
          <w:iCs/>
          <w:sz w:val="20"/>
          <w:szCs w:val="20"/>
          <w:lang w:val="en-US"/>
        </w:rPr>
        <w:t>e.g.</w:t>
      </w:r>
      <w:proofErr w:type="gramEnd"/>
      <w:r>
        <w:rPr>
          <w:bCs/>
          <w:iCs/>
          <w:sz w:val="20"/>
          <w:szCs w:val="20"/>
          <w:lang w:val="en-US"/>
        </w:rPr>
        <w:t xml:space="preserve">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w:t>
      </w:r>
      <w:proofErr w:type="gramStart"/>
      <w:r>
        <w:rPr>
          <w:bCs/>
          <w:iCs/>
          <w:sz w:val="20"/>
          <w:szCs w:val="20"/>
          <w:lang w:val="en-US"/>
        </w:rPr>
        <w:t>similar to</w:t>
      </w:r>
      <w:proofErr w:type="gramEnd"/>
      <w:r>
        <w:rPr>
          <w:bCs/>
          <w:iCs/>
          <w:sz w:val="20"/>
          <w:szCs w:val="20"/>
          <w:lang w:val="en-US"/>
        </w:rPr>
        <w:t xml:space="preserve">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w:t>
      </w:r>
    </w:p>
    <w:p w14:paraId="368EAECE" w14:textId="77777777"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14:paraId="2F95AAEE"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06A85" w14:textId="77777777" w:rsidR="00AF0B33" w:rsidRDefault="00AF0B33" w:rsidP="005943EE">
      <w:pPr>
        <w:spacing w:after="0" w:line="240" w:lineRule="auto"/>
      </w:pPr>
      <w:r>
        <w:separator/>
      </w:r>
    </w:p>
  </w:endnote>
  <w:endnote w:type="continuationSeparator" w:id="0">
    <w:p w14:paraId="225936DC" w14:textId="77777777" w:rsidR="00AF0B33" w:rsidRDefault="00AF0B33"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F3901" w14:textId="77777777" w:rsidR="00AF0B33" w:rsidRDefault="00AF0B33" w:rsidP="005943EE">
      <w:pPr>
        <w:spacing w:after="0" w:line="240" w:lineRule="auto"/>
      </w:pPr>
      <w:r>
        <w:separator/>
      </w:r>
    </w:p>
  </w:footnote>
  <w:footnote w:type="continuationSeparator" w:id="0">
    <w:p w14:paraId="2CD18607" w14:textId="77777777" w:rsidR="00AF0B33" w:rsidRDefault="00AF0B33"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2.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3.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E6A75C-1689-44A9-BD7E-79D84BF8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5918</Words>
  <Characters>33737</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JL</cp:lastModifiedBy>
  <cp:revision>2</cp:revision>
  <dcterms:created xsi:type="dcterms:W3CDTF">2021-08-24T19:11:00Z</dcterms:created>
  <dcterms:modified xsi:type="dcterms:W3CDTF">2021-08-24T19:11:00Z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