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 xml:space="preserve">Summary #2 of email discussions [106-e-NR-feMIMO-03] for </w:t>
      </w:r>
      <w:proofErr w:type="spellStart"/>
      <w:r>
        <w:rPr>
          <w:rFonts w:ascii="Arial" w:eastAsia="SimSun" w:hAnsi="Arial" w:cs="Times New Roman"/>
          <w:color w:val="000000"/>
          <w:sz w:val="24"/>
        </w:rPr>
        <w:t>mTRP</w:t>
      </w:r>
      <w:proofErr w:type="spellEnd"/>
      <w:r>
        <w:rPr>
          <w:rFonts w:ascii="Arial" w:eastAsia="SimSun"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r w:rsidR="00FD1F32" w14:paraId="6056D582" w14:textId="77777777" w:rsidTr="00F0735C">
        <w:tc>
          <w:tcPr>
            <w:tcW w:w="1795" w:type="dxa"/>
          </w:tcPr>
          <w:p w14:paraId="78539EF2" w14:textId="62BCBBA1" w:rsidR="00FD1F32" w:rsidRDefault="00FD1F32" w:rsidP="006E0D72">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B0595F6" w14:textId="420CCA11" w:rsidR="00FD1F32" w:rsidRDefault="00FD1F32" w:rsidP="006E0D72">
            <w:pPr>
              <w:rPr>
                <w:sz w:val="20"/>
                <w:szCs w:val="20"/>
                <w:lang w:eastAsia="zh-CN"/>
              </w:rPr>
            </w:pPr>
            <w:r>
              <w:rPr>
                <w:sz w:val="20"/>
                <w:szCs w:val="20"/>
                <w:lang w:eastAsia="zh-CN"/>
              </w:rPr>
              <w:t>Support.</w:t>
            </w:r>
          </w:p>
        </w:tc>
      </w:tr>
      <w:tr w:rsidR="00974CD3" w14:paraId="70D18038" w14:textId="77777777" w:rsidTr="00F0735C">
        <w:tc>
          <w:tcPr>
            <w:tcW w:w="1795" w:type="dxa"/>
          </w:tcPr>
          <w:p w14:paraId="4160294B" w14:textId="0CD251AC" w:rsidR="00974CD3" w:rsidRDefault="00974CD3" w:rsidP="006E0D72">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11D018F" w14:textId="7B93F498" w:rsidR="00974CD3" w:rsidRDefault="00974CD3" w:rsidP="006E0D72">
            <w:pPr>
              <w:rPr>
                <w:sz w:val="20"/>
                <w:szCs w:val="20"/>
                <w:lang w:eastAsia="zh-CN"/>
              </w:rPr>
            </w:pPr>
            <w:r>
              <w:rPr>
                <w:rFonts w:hint="eastAsia"/>
                <w:sz w:val="20"/>
                <w:szCs w:val="20"/>
                <w:lang w:eastAsia="zh-CN"/>
              </w:rPr>
              <w:t>Support.</w:t>
            </w:r>
          </w:p>
        </w:tc>
      </w:tr>
      <w:tr w:rsidR="003E31A5" w14:paraId="68699723" w14:textId="77777777" w:rsidTr="00F0735C">
        <w:tc>
          <w:tcPr>
            <w:tcW w:w="1795" w:type="dxa"/>
          </w:tcPr>
          <w:p w14:paraId="1A345C09" w14:textId="518C0CCA" w:rsidR="003E31A5" w:rsidRDefault="003E31A5" w:rsidP="006E0D72">
            <w:pPr>
              <w:autoSpaceDE w:val="0"/>
              <w:autoSpaceDN w:val="0"/>
              <w:adjustRightInd w:val="0"/>
              <w:snapToGrid w:val="0"/>
              <w:rPr>
                <w:sz w:val="20"/>
                <w:szCs w:val="20"/>
                <w:lang w:eastAsia="zh-CN"/>
              </w:rPr>
            </w:pPr>
            <w:r>
              <w:rPr>
                <w:sz w:val="20"/>
                <w:szCs w:val="20"/>
                <w:lang w:eastAsia="zh-CN"/>
              </w:rPr>
              <w:t>Futurewei</w:t>
            </w:r>
          </w:p>
        </w:tc>
        <w:tc>
          <w:tcPr>
            <w:tcW w:w="7070" w:type="dxa"/>
          </w:tcPr>
          <w:p w14:paraId="65BB95AA" w14:textId="118B87C9" w:rsidR="003E31A5" w:rsidRDefault="003E31A5" w:rsidP="006E0D72">
            <w:pPr>
              <w:rPr>
                <w:sz w:val="20"/>
                <w:szCs w:val="20"/>
                <w:lang w:eastAsia="zh-CN"/>
              </w:rPr>
            </w:pPr>
            <w:r>
              <w:rPr>
                <w:sz w:val="20"/>
                <w:szCs w:val="20"/>
                <w:lang w:eastAsia="zh-CN"/>
              </w:rPr>
              <w:t>Support, and support the update from LG</w:t>
            </w:r>
          </w:p>
        </w:tc>
      </w:tr>
    </w:tbl>
    <w:p w14:paraId="4D233BE9" w14:textId="323EFE2E" w:rsidR="006B608F" w:rsidRDefault="006B608F">
      <w:pPr>
        <w:rPr>
          <w:rFonts w:ascii="Times New Roman" w:hAnsi="Times New Roman" w:cs="Times New Roman"/>
          <w:lang w:eastAsia="zh-CN"/>
        </w:rPr>
      </w:pPr>
    </w:p>
    <w:p w14:paraId="547ADE0B" w14:textId="77777777" w:rsidR="004D7E60" w:rsidRDefault="004D7E60" w:rsidP="004D7E60">
      <w:pPr>
        <w:pStyle w:val="Heading2"/>
        <w:spacing w:after="120"/>
        <w:rPr>
          <w:rFonts w:ascii="Calibri" w:eastAsia="Batang" w:hAnsi="Calibri" w:cs="Calibri"/>
          <w:b/>
          <w:bCs/>
          <w:sz w:val="28"/>
        </w:rPr>
      </w:pPr>
      <w:r>
        <w:rPr>
          <w:rFonts w:ascii="Calibri" w:eastAsia="Batang" w:hAnsi="Calibri" w:cs="Calibri"/>
          <w:b/>
          <w:bCs/>
          <w:sz w:val="28"/>
        </w:rPr>
        <w:t>Second Update</w:t>
      </w:r>
    </w:p>
    <w:p w14:paraId="08A52E28" w14:textId="261B0ABA" w:rsidR="004D7E60" w:rsidRDefault="004D7E60" w:rsidP="004D7E60">
      <w:pPr>
        <w:rPr>
          <w:rFonts w:ascii="Times New Roman" w:hAnsi="Times New Roman" w:cs="Times New Roman"/>
          <w:lang w:eastAsia="zh-CN"/>
        </w:rPr>
      </w:pPr>
      <w:r>
        <w:rPr>
          <w:rFonts w:ascii="Times New Roman" w:hAnsi="Times New Roman" w:cs="Times New Roman"/>
          <w:lang w:eastAsia="zh-CN"/>
        </w:rPr>
        <w:t>All companies support the proposal, and some companies would like to study further whether further relaxation is needed due to soft combining of PDCCH candidates. The suggestion from LG is reflected below</w:t>
      </w:r>
      <w:r w:rsidR="007F0592">
        <w:rPr>
          <w:rFonts w:ascii="Times New Roman" w:hAnsi="Times New Roman" w:cs="Times New Roman"/>
          <w:lang w:eastAsia="zh-CN"/>
        </w:rPr>
        <w:t xml:space="preserve"> (with some </w:t>
      </w:r>
      <w:r w:rsidR="007F0592" w:rsidRPr="00883180">
        <w:rPr>
          <w:rFonts w:ascii="Times New Roman" w:hAnsi="Times New Roman" w:cs="Times New Roman"/>
          <w:color w:val="00B050"/>
          <w:lang w:eastAsia="zh-CN"/>
        </w:rPr>
        <w:t>additions</w:t>
      </w:r>
      <w:r w:rsidR="00883180">
        <w:rPr>
          <w:rFonts w:ascii="Times New Roman" w:hAnsi="Times New Roman" w:cs="Times New Roman"/>
          <w:lang w:eastAsia="zh-CN"/>
        </w:rPr>
        <w:t>)</w:t>
      </w:r>
      <w:r>
        <w:rPr>
          <w:rFonts w:ascii="Times New Roman" w:hAnsi="Times New Roman" w:cs="Times New Roman"/>
          <w:lang w:eastAsia="zh-CN"/>
        </w:rPr>
        <w:t xml:space="preserve">, which should be ok as it allows companies to study this aspect further. The following </w:t>
      </w:r>
      <w:r w:rsidR="00683C76">
        <w:rPr>
          <w:rFonts w:ascii="Times New Roman" w:hAnsi="Times New Roman" w:cs="Times New Roman"/>
          <w:lang w:eastAsia="zh-CN"/>
        </w:rPr>
        <w:t>will be reported as an offline agreement.</w:t>
      </w:r>
    </w:p>
    <w:p w14:paraId="43E8660F" w14:textId="26AF5BA6" w:rsidR="004D7E60" w:rsidRDefault="004D7E60" w:rsidP="004D7E60">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lastRenderedPageBreak/>
        <w:t>FL Proposal 1-B</w:t>
      </w:r>
      <w:r w:rsidR="00683C76">
        <w:rPr>
          <w:rFonts w:ascii="Times New Roman" w:eastAsia="DengXian" w:hAnsi="Times New Roman" w:cs="Times New Roman"/>
          <w:b/>
          <w:bCs/>
          <w:i/>
          <w:iCs/>
          <w:kern w:val="32"/>
          <w:sz w:val="24"/>
          <w:szCs w:val="24"/>
          <w:u w:val="single"/>
          <w:lang w:val="en-GB" w:eastAsia="zh-CN"/>
        </w:rPr>
        <w:t xml:space="preserve"> (</w:t>
      </w:r>
      <w:r w:rsidR="00683C76" w:rsidRPr="00683C76">
        <w:rPr>
          <w:rFonts w:ascii="Times New Roman" w:eastAsia="DengXian" w:hAnsi="Times New Roman" w:cs="Times New Roman"/>
          <w:b/>
          <w:bCs/>
          <w:i/>
          <w:iCs/>
          <w:kern w:val="32"/>
          <w:sz w:val="24"/>
          <w:szCs w:val="24"/>
          <w:highlight w:val="cyan"/>
          <w:u w:val="single"/>
          <w:lang w:val="en-GB" w:eastAsia="zh-CN"/>
        </w:rPr>
        <w:t>offline agreement</w:t>
      </w:r>
      <w:r w:rsidR="00683C76">
        <w:rPr>
          <w:rFonts w:ascii="Times New Roman" w:eastAsia="DengXian" w:hAnsi="Times New Roman" w:cs="Times New Roman"/>
          <w:b/>
          <w:bCs/>
          <w:i/>
          <w:iCs/>
          <w:kern w:val="32"/>
          <w:sz w:val="24"/>
          <w:szCs w:val="24"/>
          <w:u w:val="single"/>
          <w:lang w:val="en-GB" w:eastAsia="zh-CN"/>
        </w:rPr>
        <w:t>)</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45A029C3" w14:textId="77777777" w:rsidR="004D7E60" w:rsidRDefault="004D7E60" w:rsidP="004D7E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2C6EEF4A" w14:textId="77777777" w:rsidR="004D7E60" w:rsidRPr="00441EAE" w:rsidRDefault="004D7E60" w:rsidP="004D7E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FFS</w:t>
      </w:r>
      <w:r>
        <w:rPr>
          <w:rFonts w:eastAsia="Malgun Gothic"/>
          <w:b/>
          <w:bCs/>
          <w:i/>
          <w:iCs/>
          <w:color w:val="FF0000"/>
          <w:lang w:val="en-US" w:eastAsia="ko-KR"/>
        </w:rPr>
        <w:t>:</w:t>
      </w:r>
      <w:r w:rsidRPr="00291C2A">
        <w:rPr>
          <w:rFonts w:eastAsia="Malgun Gothic" w:hint="eastAsia"/>
          <w:b/>
          <w:bCs/>
          <w:i/>
          <w:iCs/>
          <w:color w:val="FF0000"/>
          <w:lang w:val="en-US" w:eastAsia="ko-KR"/>
        </w:rPr>
        <w:t xml:space="preserve"> </w:t>
      </w:r>
      <w:r>
        <w:rPr>
          <w:rFonts w:eastAsia="Malgun Gothic"/>
          <w:b/>
          <w:bCs/>
          <w:i/>
          <w:iCs/>
          <w:color w:val="FF0000"/>
          <w:lang w:val="en-US" w:eastAsia="ko-KR"/>
        </w:rPr>
        <w:t>R</w:t>
      </w:r>
      <w:r w:rsidRPr="00291C2A">
        <w:rPr>
          <w:rFonts w:eastAsia="Malgun Gothic" w:hint="eastAsia"/>
          <w:b/>
          <w:bCs/>
          <w:i/>
          <w:iCs/>
          <w:color w:val="FF0000"/>
          <w:lang w:val="en-US" w:eastAsia="ko-KR"/>
        </w:rPr>
        <w:t xml:space="preserve">elaxation of processing time for soft combining </w:t>
      </w:r>
      <w:r w:rsidRPr="00291C2A">
        <w:rPr>
          <w:rFonts w:eastAsia="Malgun Gothic"/>
          <w:b/>
          <w:bCs/>
          <w:i/>
          <w:iCs/>
          <w:color w:val="FF0000"/>
          <w:lang w:val="en-US" w:eastAsia="ko-KR"/>
        </w:rPr>
        <w:t>of linked PDCCH candidates including PUSCH processing, PDSCH processing for mapping Type A</w:t>
      </w:r>
      <w:r>
        <w:rPr>
          <w:rFonts w:eastAsia="Malgun Gothic"/>
          <w:b/>
          <w:bCs/>
          <w:i/>
          <w:iCs/>
          <w:color w:val="FF0000"/>
          <w:lang w:val="en-US" w:eastAsia="ko-KR"/>
        </w:rPr>
        <w:t xml:space="preserve"> </w:t>
      </w:r>
      <w:r w:rsidRPr="00D35121">
        <w:rPr>
          <w:rFonts w:eastAsia="Malgun Gothic"/>
          <w:b/>
          <w:bCs/>
          <w:i/>
          <w:iCs/>
          <w:color w:val="00B050"/>
          <w:lang w:val="en-US" w:eastAsia="ko-KR"/>
        </w:rPr>
        <w:t>and B</w:t>
      </w:r>
      <w:r w:rsidRPr="00291C2A">
        <w:rPr>
          <w:rFonts w:eastAsia="Malgun Gothic"/>
          <w:b/>
          <w:bCs/>
          <w:i/>
          <w:iCs/>
          <w:color w:val="FF0000"/>
          <w:lang w:val="en-US" w:eastAsia="ko-KR"/>
        </w:rPr>
        <w:t xml:space="preserve">, AP CSI processing, </w:t>
      </w:r>
      <w:r w:rsidRPr="00530E46">
        <w:rPr>
          <w:rFonts w:eastAsia="Malgun Gothic"/>
          <w:b/>
          <w:bCs/>
          <w:i/>
          <w:iCs/>
          <w:color w:val="00B050"/>
          <w:lang w:val="en-US" w:eastAsia="ko-KR"/>
        </w:rPr>
        <w:t>DCI processing (N timeline)</w:t>
      </w:r>
      <w:r>
        <w:rPr>
          <w:rFonts w:eastAsia="Malgun Gothic"/>
          <w:b/>
          <w:bCs/>
          <w:i/>
          <w:iCs/>
          <w:color w:val="FF0000"/>
          <w:lang w:val="en-US" w:eastAsia="ko-KR"/>
        </w:rPr>
        <w:t xml:space="preserve">, </w:t>
      </w:r>
      <w:r w:rsidRPr="00291C2A">
        <w:rPr>
          <w:rFonts w:eastAsia="Malgun Gothic"/>
          <w:b/>
          <w:bCs/>
          <w:i/>
          <w:iCs/>
          <w:color w:val="FF0000"/>
          <w:lang w:val="en-US" w:eastAsia="ko-KR"/>
        </w:rPr>
        <w:t>etc.</w:t>
      </w:r>
    </w:p>
    <w:p w14:paraId="35A9F724" w14:textId="77777777" w:rsidR="004D7E60" w:rsidRDefault="004D7E60">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lastRenderedPageBreak/>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lastRenderedPageBreak/>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 xml:space="preserve">Option 2 provides more flexibility to </w:t>
            </w:r>
            <w:proofErr w:type="spellStart"/>
            <w:r>
              <w:rPr>
                <w:rFonts w:eastAsia="SimSun"/>
                <w:sz w:val="20"/>
                <w:szCs w:val="20"/>
                <w:lang w:val="en-US" w:eastAsia="zh-CN"/>
              </w:rPr>
              <w:t>gNB</w:t>
            </w:r>
            <w:proofErr w:type="spellEnd"/>
            <w:r>
              <w:rPr>
                <w:rFonts w:eastAsia="SimSun"/>
                <w:sz w:val="20"/>
                <w:szCs w:val="20"/>
                <w:lang w:val="en-US" w:eastAsia="zh-CN"/>
              </w:rPr>
              <w:t xml:space="preserve">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 xml:space="preserve">Q1: @MediaTek: Thanks a lot for explanation. We don’t think with “not counted for </w:t>
            </w:r>
            <w:r>
              <w:rPr>
                <w:sz w:val="20"/>
                <w:szCs w:val="20"/>
                <w:lang w:eastAsia="zh-CN"/>
              </w:rPr>
              <w:lastRenderedPageBreak/>
              <w:t>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 xml:space="preserve">For issue 2, if we change the wording to “not monitored”, then detected DCI belongs to the other candidate which is not dropped. I am not following why you think </w:t>
            </w:r>
            <w:r>
              <w:rPr>
                <w:sz w:val="20"/>
                <w:szCs w:val="20"/>
                <w:lang w:eastAsia="zh-CN"/>
              </w:rPr>
              <w:lastRenderedPageBreak/>
              <w:t>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w:t>
      </w:r>
      <w:r>
        <w:rPr>
          <w:rFonts w:ascii="Times New Roman" w:eastAsia="DengXian" w:hAnsi="Times New Roman" w:cs="Times New Roman"/>
          <w:b/>
          <w:bCs/>
          <w:i/>
          <w:iCs/>
          <w:kern w:val="32"/>
          <w:sz w:val="24"/>
          <w:szCs w:val="24"/>
          <w:lang w:val="en-GB" w:eastAsia="zh-CN"/>
        </w:rPr>
        <w:lastRenderedPageBreak/>
        <w:t xml:space="preserve">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DengXian" w:hAnsi="Times New Roman" w:cs="Times New Roman"/>
          <w:b/>
          <w:bCs/>
          <w:i/>
          <w:iCs/>
          <w:kern w:val="32"/>
          <w:sz w:val="24"/>
          <w:szCs w:val="24"/>
          <w:lang w:val="en-GB" w:eastAsia="zh-CN"/>
        </w:rPr>
        <w:t>wrt</w:t>
      </w:r>
      <w:proofErr w:type="spellEnd"/>
      <w:r>
        <w:rPr>
          <w:rFonts w:ascii="Times New Roman" w:eastAsia="DengXian"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DengXian" w:hAnsi="Times New Roman" w:cs="Times New Roman"/>
          <w:b/>
          <w:bCs/>
          <w:i/>
          <w:iCs/>
          <w:color w:val="FF0000"/>
          <w:kern w:val="32"/>
          <w:sz w:val="24"/>
          <w:szCs w:val="24"/>
          <w:lang w:val="en-GB" w:eastAsia="zh-CN"/>
        </w:rPr>
        <w:t>wrt</w:t>
      </w:r>
      <w:proofErr w:type="spellEnd"/>
      <w:r>
        <w:rPr>
          <w:rFonts w:ascii="Times New Roman" w:eastAsia="DengXian"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 xml:space="preserve">and not </w:t>
            </w:r>
            <w:r w:rsidRPr="008C5CEE">
              <w:rPr>
                <w:rFonts w:eastAsia="DengXian"/>
                <w:b/>
                <w:bCs/>
                <w:i/>
                <w:iCs/>
                <w:color w:val="FF0000"/>
                <w:kern w:val="32"/>
                <w:sz w:val="24"/>
                <w:szCs w:val="24"/>
                <w:lang w:val="en-GB" w:eastAsia="zh-CN"/>
              </w:rPr>
              <w:lastRenderedPageBreak/>
              <w:t>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t>
            </w:r>
            <w:proofErr w:type="spellStart"/>
            <w:r>
              <w:rPr>
                <w:rFonts w:eastAsia="DengXian"/>
                <w:b/>
                <w:bCs/>
                <w:i/>
                <w:iCs/>
                <w:kern w:val="32"/>
                <w:sz w:val="24"/>
                <w:szCs w:val="24"/>
                <w:lang w:val="en-GB" w:eastAsia="zh-CN"/>
              </w:rPr>
              <w:t>wrt</w:t>
            </w:r>
            <w:proofErr w:type="spellEnd"/>
            <w:r>
              <w:rPr>
                <w:rFonts w:eastAsia="DengXian"/>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r w:rsidR="00040E12" w14:paraId="784F1560" w14:textId="77777777" w:rsidTr="00F93CD5">
        <w:tc>
          <w:tcPr>
            <w:tcW w:w="1795" w:type="dxa"/>
          </w:tcPr>
          <w:p w14:paraId="10E9849B" w14:textId="60048E29" w:rsidR="00040E12" w:rsidRDefault="00FC3165" w:rsidP="009100C3">
            <w:pPr>
              <w:autoSpaceDE w:val="0"/>
              <w:autoSpaceDN w:val="0"/>
              <w:adjustRightInd w:val="0"/>
              <w:snapToGrid w:val="0"/>
              <w:rPr>
                <w:sz w:val="20"/>
                <w:szCs w:val="20"/>
                <w:lang w:eastAsia="zh-CN"/>
              </w:rPr>
            </w:pPr>
            <w:r>
              <w:rPr>
                <w:sz w:val="20"/>
                <w:szCs w:val="20"/>
                <w:lang w:eastAsia="zh-CN"/>
              </w:rPr>
              <w:t>Intel</w:t>
            </w:r>
          </w:p>
        </w:tc>
        <w:tc>
          <w:tcPr>
            <w:tcW w:w="7070" w:type="dxa"/>
          </w:tcPr>
          <w:p w14:paraId="731A9ED4" w14:textId="77777777" w:rsidR="00FC3165" w:rsidRPr="00B53D71" w:rsidRDefault="00FC3165" w:rsidP="00FC3165">
            <w:pPr>
              <w:rPr>
                <w:color w:val="1F497D"/>
                <w:sz w:val="20"/>
                <w:szCs w:val="20"/>
              </w:rPr>
            </w:pPr>
            <w:r>
              <w:rPr>
                <w:color w:val="1F497D"/>
                <w:sz w:val="20"/>
                <w:szCs w:val="20"/>
              </w:rPr>
              <w:t xml:space="preserve">use-case: </w:t>
            </w:r>
            <w:r w:rsidRPr="00B53D71">
              <w:rPr>
                <w:color w:val="1F497D"/>
                <w:sz w:val="20"/>
                <w:szCs w:val="20"/>
              </w:rPr>
              <w:t xml:space="preserve">we expect SS-sets for </w:t>
            </w:r>
            <w:proofErr w:type="spellStart"/>
            <w:r w:rsidRPr="00B53D71">
              <w:rPr>
                <w:color w:val="1F497D"/>
                <w:sz w:val="20"/>
                <w:szCs w:val="20"/>
              </w:rPr>
              <w:t>sTRP</w:t>
            </w:r>
            <w:proofErr w:type="spellEnd"/>
            <w:r w:rsidRPr="00B53D71">
              <w:rPr>
                <w:color w:val="1F497D"/>
                <w:sz w:val="20"/>
                <w:szCs w:val="20"/>
              </w:rPr>
              <w:t xml:space="preserve"> (individual candidate) and </w:t>
            </w:r>
            <w:proofErr w:type="spellStart"/>
            <w:r w:rsidRPr="00B53D71">
              <w:rPr>
                <w:color w:val="1F497D"/>
                <w:sz w:val="20"/>
                <w:szCs w:val="20"/>
              </w:rPr>
              <w:t>mTRP</w:t>
            </w:r>
            <w:proofErr w:type="spellEnd"/>
            <w:r w:rsidRPr="00B53D71">
              <w:rPr>
                <w:color w:val="1F497D"/>
                <w:sz w:val="20"/>
                <w:szCs w:val="20"/>
              </w:rPr>
              <w:t xml:space="preserve"> (linked candidates) would typically overlap </w:t>
            </w:r>
            <w:r>
              <w:rPr>
                <w:color w:val="1F497D"/>
                <w:sz w:val="20"/>
                <w:szCs w:val="20"/>
              </w:rPr>
              <w:t xml:space="preserve">to allow dynamic switching of </w:t>
            </w:r>
            <w:proofErr w:type="spellStart"/>
            <w:r>
              <w:rPr>
                <w:color w:val="1F497D"/>
                <w:sz w:val="20"/>
                <w:szCs w:val="20"/>
              </w:rPr>
              <w:t>sTRP</w:t>
            </w:r>
            <w:proofErr w:type="spellEnd"/>
            <w:r>
              <w:rPr>
                <w:color w:val="1F497D"/>
                <w:sz w:val="20"/>
                <w:szCs w:val="20"/>
              </w:rPr>
              <w:t>/</w:t>
            </w:r>
            <w:proofErr w:type="spellStart"/>
            <w:r>
              <w:rPr>
                <w:color w:val="1F497D"/>
                <w:sz w:val="20"/>
                <w:szCs w:val="20"/>
              </w:rPr>
              <w:t>mTRP</w:t>
            </w:r>
            <w:proofErr w:type="spellEnd"/>
            <w:r>
              <w:rPr>
                <w:color w:val="1F497D"/>
                <w:sz w:val="20"/>
                <w:szCs w:val="20"/>
              </w:rPr>
              <w:t xml:space="preserve"> PDCCH Tx as this is more efficient for CCE count and overlapping candidates are also efficient in terms of BD count.</w:t>
            </w:r>
          </w:p>
          <w:p w14:paraId="5F4C1AA8" w14:textId="77777777" w:rsidR="00FC3165" w:rsidRPr="00B53D71" w:rsidRDefault="00FC3165" w:rsidP="00FC3165">
            <w:pPr>
              <w:rPr>
                <w:color w:val="1F497D"/>
                <w:sz w:val="20"/>
                <w:szCs w:val="20"/>
              </w:rPr>
            </w:pPr>
          </w:p>
          <w:p w14:paraId="05A791C0" w14:textId="77777777" w:rsidR="00FC3165" w:rsidRPr="00B53D71" w:rsidRDefault="00FC3165" w:rsidP="00FC3165">
            <w:pPr>
              <w:rPr>
                <w:color w:val="1F497D"/>
                <w:sz w:val="20"/>
                <w:szCs w:val="20"/>
              </w:rPr>
            </w:pPr>
            <w:r w:rsidRPr="00B53D71">
              <w:rPr>
                <w:color w:val="1F497D"/>
                <w:sz w:val="20"/>
                <w:szCs w:val="20"/>
              </w:rPr>
              <w:t xml:space="preserve">In the following we </w:t>
            </w:r>
            <w:r>
              <w:rPr>
                <w:color w:val="1F497D"/>
                <w:sz w:val="20"/>
                <w:szCs w:val="20"/>
              </w:rPr>
              <w:t xml:space="preserve">explain why not monitoring individual candidate is a problem for PDCCH scheduling. We can </w:t>
            </w:r>
            <w:r w:rsidRPr="00B53D71">
              <w:rPr>
                <w:color w:val="1F497D"/>
                <w:sz w:val="20"/>
                <w:szCs w:val="20"/>
              </w:rPr>
              <w:t xml:space="preserve">assume option-1 that individual candidate is not counted/monitored </w:t>
            </w:r>
            <w:r>
              <w:rPr>
                <w:color w:val="1F497D"/>
                <w:sz w:val="20"/>
                <w:szCs w:val="20"/>
              </w:rPr>
              <w:t xml:space="preserve">(as in proposal 3) </w:t>
            </w:r>
            <w:r w:rsidRPr="00B53D71">
              <w:rPr>
                <w:color w:val="1F497D"/>
                <w:sz w:val="20"/>
                <w:szCs w:val="20"/>
              </w:rPr>
              <w:t>and analyze 4 combinations of monitoring/BD counting. The arguments below remain about the same for options-2/3.</w:t>
            </w:r>
          </w:p>
          <w:p w14:paraId="088F29C0" w14:textId="77777777" w:rsidR="00FC3165" w:rsidRPr="00B53D71" w:rsidRDefault="00FC3165" w:rsidP="00FC3165">
            <w:pPr>
              <w:rPr>
                <w:color w:val="1F497D"/>
                <w:sz w:val="20"/>
                <w:szCs w:val="20"/>
              </w:rPr>
            </w:pPr>
          </w:p>
          <w:p w14:paraId="77416AA9" w14:textId="77777777" w:rsidR="00FC3165" w:rsidRPr="00B53D71" w:rsidRDefault="00FC3165" w:rsidP="00FC3165">
            <w:pPr>
              <w:rPr>
                <w:color w:val="1F497D"/>
                <w:sz w:val="20"/>
                <w:szCs w:val="20"/>
              </w:rPr>
            </w:pPr>
            <w:r w:rsidRPr="00B53D71">
              <w:rPr>
                <w:color w:val="1F497D"/>
                <w:sz w:val="20"/>
                <w:szCs w:val="20"/>
              </w:rPr>
              <w:t>Case -1: The individual candidate is monitored but not counted (Round-1 option-1)</w:t>
            </w:r>
          </w:p>
          <w:p w14:paraId="23A5D347" w14:textId="77777777" w:rsidR="00FC3165" w:rsidRPr="00B53D71" w:rsidRDefault="00FC3165" w:rsidP="00FC3165">
            <w:pPr>
              <w:rPr>
                <w:color w:val="1F497D"/>
                <w:sz w:val="20"/>
                <w:szCs w:val="20"/>
              </w:rPr>
            </w:pPr>
          </w:p>
          <w:p w14:paraId="2BA70444" w14:textId="77777777" w:rsidR="00FC3165" w:rsidRPr="00B53D71" w:rsidRDefault="00FC3165" w:rsidP="00FC3165">
            <w:pPr>
              <w:rPr>
                <w:color w:val="1F497D"/>
                <w:sz w:val="20"/>
                <w:szCs w:val="20"/>
              </w:rPr>
            </w:pPr>
            <w:r w:rsidRPr="00B53D71">
              <w:rPr>
                <w:color w:val="1F497D"/>
                <w:sz w:val="20"/>
                <w:szCs w:val="20"/>
              </w:rPr>
              <w:t>(+) Rel-15/16 behavior</w:t>
            </w:r>
          </w:p>
          <w:p w14:paraId="415B6464"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A27394D" w14:textId="77777777" w:rsidR="00FC3165" w:rsidRPr="00B53D71" w:rsidRDefault="00FC3165" w:rsidP="00FC3165">
            <w:pPr>
              <w:rPr>
                <w:color w:val="1F497D"/>
                <w:sz w:val="20"/>
                <w:szCs w:val="20"/>
              </w:rPr>
            </w:pPr>
            <w:r w:rsidRPr="00B53D71">
              <w:rPr>
                <w:color w:val="1F497D"/>
                <w:sz w:val="20"/>
                <w:szCs w:val="20"/>
              </w:rPr>
              <w:t>(+) Ok for UEs with individual decoding capability (e.g. UEs reporting BD=3 and may be some UEs reporting BD=2)</w:t>
            </w:r>
          </w:p>
          <w:p w14:paraId="7DCE2B2A" w14:textId="77777777" w:rsidR="00FC3165" w:rsidRPr="00B53D71"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
          <w:p w14:paraId="695AF58C" w14:textId="77777777" w:rsidR="00FC3165" w:rsidRPr="00B53D71" w:rsidRDefault="00FC3165" w:rsidP="00FC3165">
            <w:pPr>
              <w:rPr>
                <w:color w:val="1F497D"/>
                <w:sz w:val="20"/>
                <w:szCs w:val="20"/>
              </w:rPr>
            </w:pPr>
            <w:r w:rsidRPr="00B53D71">
              <w:rPr>
                <w:color w:val="1F497D"/>
                <w:sz w:val="20"/>
                <w:szCs w:val="20"/>
              </w:rPr>
              <w:t>(-) soft-combining complexity concern (MTK)</w:t>
            </w:r>
          </w:p>
          <w:p w14:paraId="618AEF79" w14:textId="77777777" w:rsidR="00FC3165" w:rsidRPr="00B53D71" w:rsidRDefault="00FC3165" w:rsidP="00FC3165">
            <w:pPr>
              <w:rPr>
                <w:color w:val="1F497D"/>
                <w:sz w:val="20"/>
                <w:szCs w:val="20"/>
              </w:rPr>
            </w:pPr>
          </w:p>
          <w:p w14:paraId="2A11D936" w14:textId="77777777" w:rsidR="00FC3165" w:rsidRPr="00B53D71" w:rsidRDefault="00FC3165" w:rsidP="00FC3165">
            <w:pPr>
              <w:rPr>
                <w:color w:val="1F497D"/>
                <w:sz w:val="20"/>
                <w:szCs w:val="20"/>
              </w:rPr>
            </w:pPr>
            <w:r w:rsidRPr="00B53D71">
              <w:rPr>
                <w:color w:val="1F497D"/>
                <w:sz w:val="20"/>
                <w:szCs w:val="20"/>
              </w:rPr>
              <w:t>Case -2: The individual candidate is not monitored but counted (Round-2 proposal)</w:t>
            </w:r>
          </w:p>
          <w:p w14:paraId="09C6C7CF" w14:textId="77777777" w:rsidR="00FC3165" w:rsidRPr="00B53D71" w:rsidRDefault="00FC3165" w:rsidP="00FC3165">
            <w:pPr>
              <w:rPr>
                <w:color w:val="1F497D"/>
                <w:sz w:val="20"/>
                <w:szCs w:val="20"/>
              </w:rPr>
            </w:pPr>
          </w:p>
          <w:p w14:paraId="29EC05D9"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5EA931C4"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w:t>
            </w:r>
            <w:r w:rsidRPr="00B53D71">
              <w:rPr>
                <w:color w:val="1F497D"/>
                <w:sz w:val="20"/>
                <w:szCs w:val="20"/>
              </w:rPr>
              <w:lastRenderedPageBreak/>
              <w:t xml:space="preserve">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because</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does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1BE7278A" w14:textId="77777777" w:rsidR="00FC3165" w:rsidRPr="00B53D71" w:rsidRDefault="00FC3165" w:rsidP="00FC3165">
            <w:pPr>
              <w:rPr>
                <w:color w:val="1F497D"/>
                <w:sz w:val="20"/>
                <w:szCs w:val="20"/>
              </w:rPr>
            </w:pPr>
            <w:r w:rsidRPr="00B53D71">
              <w:rPr>
                <w:color w:val="1F497D"/>
                <w:sz w:val="20"/>
                <w:szCs w:val="20"/>
              </w:rPr>
              <w:t>(-) 1 BD wasted per overlap</w:t>
            </w:r>
            <w:r>
              <w:rPr>
                <w:color w:val="1F497D"/>
                <w:sz w:val="20"/>
                <w:szCs w:val="20"/>
              </w:rPr>
              <w:t xml:space="preserve"> (BD for individual is counted but not used)</w:t>
            </w:r>
          </w:p>
          <w:p w14:paraId="0DE48BDD" w14:textId="77777777" w:rsidR="00FC3165" w:rsidRPr="00B53D71" w:rsidRDefault="00FC3165" w:rsidP="00FC3165">
            <w:pPr>
              <w:rPr>
                <w:color w:val="1F497D"/>
                <w:sz w:val="20"/>
                <w:szCs w:val="20"/>
              </w:rPr>
            </w:pPr>
          </w:p>
          <w:p w14:paraId="13D64FA4" w14:textId="77777777" w:rsidR="00FC3165" w:rsidRPr="00B53D71" w:rsidRDefault="00FC3165" w:rsidP="00FC3165">
            <w:pPr>
              <w:rPr>
                <w:color w:val="1F497D"/>
                <w:sz w:val="20"/>
                <w:szCs w:val="20"/>
              </w:rPr>
            </w:pPr>
            <w:r w:rsidRPr="00B53D71">
              <w:rPr>
                <w:color w:val="1F497D"/>
                <w:sz w:val="20"/>
                <w:szCs w:val="20"/>
              </w:rPr>
              <w:t xml:space="preserve">Case -3: The individual candidate is not monitored and not counted </w:t>
            </w:r>
          </w:p>
          <w:p w14:paraId="1FB9FC74" w14:textId="77777777" w:rsidR="00FC3165" w:rsidRPr="00B53D71" w:rsidRDefault="00FC3165" w:rsidP="00FC3165">
            <w:pPr>
              <w:rPr>
                <w:color w:val="1F497D"/>
                <w:sz w:val="20"/>
                <w:szCs w:val="20"/>
              </w:rPr>
            </w:pPr>
          </w:p>
          <w:p w14:paraId="3D16B89F"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2BB5745E"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as</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may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6B3E145C" w14:textId="77777777" w:rsidR="00FC3165" w:rsidRPr="00B53D71" w:rsidRDefault="00FC3165" w:rsidP="00FC3165">
            <w:pPr>
              <w:rPr>
                <w:color w:val="1F497D"/>
                <w:sz w:val="20"/>
                <w:szCs w:val="20"/>
              </w:rPr>
            </w:pPr>
          </w:p>
          <w:p w14:paraId="47A001EF" w14:textId="77777777" w:rsidR="00FC3165" w:rsidRPr="00B53D71" w:rsidRDefault="00FC3165" w:rsidP="00FC3165">
            <w:pPr>
              <w:rPr>
                <w:color w:val="1F497D"/>
                <w:sz w:val="20"/>
                <w:szCs w:val="20"/>
              </w:rPr>
            </w:pPr>
            <w:r w:rsidRPr="00B53D71">
              <w:rPr>
                <w:color w:val="1F497D"/>
                <w:sz w:val="20"/>
                <w:szCs w:val="20"/>
              </w:rPr>
              <w:t>Case -4: The individual candidate is monitored and counted</w:t>
            </w:r>
          </w:p>
          <w:p w14:paraId="6077190C" w14:textId="77777777" w:rsidR="00FC3165" w:rsidRPr="00B53D71" w:rsidRDefault="00FC3165" w:rsidP="00FC3165">
            <w:pPr>
              <w:rPr>
                <w:color w:val="1F497D"/>
                <w:sz w:val="20"/>
                <w:szCs w:val="20"/>
              </w:rPr>
            </w:pPr>
          </w:p>
          <w:p w14:paraId="5408B86D"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D9809FB" w14:textId="77777777" w:rsidR="00FC3165" w:rsidRDefault="00FC3165" w:rsidP="00FC3165">
            <w:pPr>
              <w:rPr>
                <w:color w:val="1F497D"/>
                <w:sz w:val="20"/>
                <w:szCs w:val="20"/>
              </w:rPr>
            </w:pPr>
            <w:r w:rsidRPr="00B53D71">
              <w:rPr>
                <w:color w:val="1F497D"/>
                <w:sz w:val="20"/>
                <w:szCs w:val="20"/>
              </w:rPr>
              <w:t>(+) Ok for UEs with soft-combining complexity</w:t>
            </w:r>
          </w:p>
          <w:p w14:paraId="7CC3E0F5" w14:textId="77777777" w:rsidR="00FC3165"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p>
          <w:p w14:paraId="019A2419" w14:textId="77777777" w:rsidR="00FC3165" w:rsidRPr="00B53D71" w:rsidRDefault="00FC3165" w:rsidP="00FC3165">
            <w:pPr>
              <w:rPr>
                <w:color w:val="1F497D"/>
                <w:sz w:val="20"/>
                <w:szCs w:val="20"/>
              </w:rPr>
            </w:pPr>
            <w:r>
              <w:rPr>
                <w:color w:val="1F497D"/>
                <w:sz w:val="20"/>
                <w:szCs w:val="20"/>
              </w:rPr>
              <w:t>(+) can address soft-combining complexity issue</w:t>
            </w:r>
            <w:r w:rsidRPr="00B53D71">
              <w:rPr>
                <w:color w:val="1F497D"/>
                <w:sz w:val="20"/>
                <w:szCs w:val="20"/>
              </w:rPr>
              <w:t xml:space="preserve"> </w:t>
            </w:r>
          </w:p>
          <w:p w14:paraId="116787C3" w14:textId="77777777" w:rsidR="00FC3165" w:rsidRPr="00B53D71" w:rsidRDefault="00FC3165" w:rsidP="00FC3165">
            <w:pPr>
              <w:rPr>
                <w:color w:val="1F497D"/>
                <w:sz w:val="20"/>
                <w:szCs w:val="20"/>
              </w:rPr>
            </w:pPr>
            <w:r w:rsidRPr="00B53D71">
              <w:rPr>
                <w:color w:val="1F497D"/>
                <w:sz w:val="20"/>
                <w:szCs w:val="20"/>
              </w:rPr>
              <w:t xml:space="preserve">(-) </w:t>
            </w:r>
            <w:r>
              <w:rPr>
                <w:color w:val="1F497D"/>
                <w:sz w:val="20"/>
                <w:szCs w:val="20"/>
              </w:rPr>
              <w:t>Not needed</w:t>
            </w:r>
            <w:r w:rsidRPr="00B53D71">
              <w:rPr>
                <w:color w:val="1F497D"/>
                <w:sz w:val="20"/>
                <w:szCs w:val="20"/>
              </w:rPr>
              <w:t xml:space="preserve"> for UEs with individual decoding capability (e.g. UEs reporting BD=3 and may be some UEs reporting BD=2), but </w:t>
            </w:r>
            <w:r>
              <w:rPr>
                <w:color w:val="1F497D"/>
                <w:sz w:val="20"/>
                <w:szCs w:val="20"/>
              </w:rPr>
              <w:t xml:space="preserve">such UEs </w:t>
            </w:r>
            <w:r w:rsidRPr="00B53D71">
              <w:rPr>
                <w:color w:val="1F497D"/>
                <w:sz w:val="20"/>
                <w:szCs w:val="20"/>
              </w:rPr>
              <w:t>can be excluded through UE capability</w:t>
            </w:r>
          </w:p>
          <w:p w14:paraId="4BCFEB8D" w14:textId="77777777" w:rsidR="00FC3165" w:rsidRPr="00B53D71" w:rsidRDefault="00FC3165" w:rsidP="00FC3165">
            <w:pPr>
              <w:rPr>
                <w:sz w:val="20"/>
                <w:szCs w:val="20"/>
                <w:lang w:eastAsia="zh-CN"/>
              </w:rPr>
            </w:pPr>
          </w:p>
          <w:p w14:paraId="6990EFDE" w14:textId="028C6FE8" w:rsidR="00040E12" w:rsidRDefault="00FC3165" w:rsidP="00FC3165">
            <w:pPr>
              <w:rPr>
                <w:sz w:val="20"/>
                <w:szCs w:val="20"/>
                <w:lang w:eastAsia="zh-CN"/>
              </w:rPr>
            </w:pPr>
            <w:r w:rsidRPr="00B53D71">
              <w:rPr>
                <w:sz w:val="20"/>
                <w:szCs w:val="20"/>
                <w:lang w:eastAsia="zh-CN"/>
              </w:rPr>
              <w:t xml:space="preserve">we think retaining Rel-15 behavior of monitoring individual candidate </w:t>
            </w:r>
            <w:r>
              <w:rPr>
                <w:sz w:val="20"/>
                <w:szCs w:val="20"/>
                <w:lang w:eastAsia="zh-CN"/>
              </w:rPr>
              <w:t xml:space="preserve">makes even more sense for </w:t>
            </w:r>
            <w:proofErr w:type="spellStart"/>
            <w:r>
              <w:rPr>
                <w:sz w:val="20"/>
                <w:szCs w:val="20"/>
                <w:lang w:eastAsia="zh-CN"/>
              </w:rPr>
              <w:t>mTRP</w:t>
            </w:r>
            <w:proofErr w:type="spellEnd"/>
            <w:r>
              <w:rPr>
                <w:sz w:val="20"/>
                <w:szCs w:val="20"/>
                <w:lang w:eastAsia="zh-CN"/>
              </w:rPr>
              <w:t xml:space="preserve"> repetition.</w:t>
            </w:r>
            <w:r w:rsidRPr="00B53D71">
              <w:rPr>
                <w:sz w:val="20"/>
                <w:szCs w:val="20"/>
                <w:lang w:eastAsia="zh-CN"/>
              </w:rPr>
              <w:t xml:space="preserve"> </w:t>
            </w:r>
            <w:r>
              <w:rPr>
                <w:sz w:val="20"/>
                <w:szCs w:val="20"/>
                <w:lang w:eastAsia="zh-CN"/>
              </w:rPr>
              <w:t>The BD count for overlap</w:t>
            </w:r>
            <w:r w:rsidRPr="00B53D71">
              <w:rPr>
                <w:sz w:val="20"/>
                <w:szCs w:val="20"/>
                <w:lang w:eastAsia="zh-CN"/>
              </w:rPr>
              <w:t xml:space="preserve"> </w:t>
            </w:r>
            <w:r>
              <w:rPr>
                <w:sz w:val="20"/>
                <w:szCs w:val="20"/>
                <w:lang w:eastAsia="zh-CN"/>
              </w:rPr>
              <w:t>can be adjusted, possibly based on UE capability to address UE complexity (for soft-combining and possibly for duplicate counting). This issue can be further discussed.</w:t>
            </w:r>
          </w:p>
        </w:tc>
      </w:tr>
    </w:tbl>
    <w:tbl>
      <w:tblPr>
        <w:tblStyle w:val="TableGrid621"/>
        <w:tblW w:w="8865" w:type="dxa"/>
        <w:tblInd w:w="-5" w:type="dxa"/>
        <w:tblLayout w:type="fixed"/>
        <w:tblLook w:val="04A0" w:firstRow="1" w:lastRow="0" w:firstColumn="1" w:lastColumn="0" w:noHBand="0" w:noVBand="1"/>
      </w:tblPr>
      <w:tblGrid>
        <w:gridCol w:w="1795"/>
        <w:gridCol w:w="7070"/>
      </w:tblGrid>
      <w:tr w:rsidR="00FD1F32" w14:paraId="6032EC00" w14:textId="77777777" w:rsidTr="00FD1F32">
        <w:tc>
          <w:tcPr>
            <w:tcW w:w="1795" w:type="dxa"/>
            <w:tcBorders>
              <w:top w:val="single" w:sz="4" w:space="0" w:color="auto"/>
              <w:left w:val="single" w:sz="4" w:space="0" w:color="auto"/>
              <w:bottom w:val="single" w:sz="4" w:space="0" w:color="auto"/>
              <w:right w:val="single" w:sz="4" w:space="0" w:color="auto"/>
            </w:tcBorders>
            <w:hideMark/>
          </w:tcPr>
          <w:p w14:paraId="2F566D35" w14:textId="77777777" w:rsidR="00FD1F32" w:rsidRDefault="00FD1F32">
            <w:pPr>
              <w:autoSpaceDE w:val="0"/>
              <w:autoSpaceDN w:val="0"/>
              <w:adjustRightInd w:val="0"/>
              <w:snapToGrid w:val="0"/>
              <w:rPr>
                <w:sz w:val="20"/>
                <w:szCs w:val="20"/>
                <w:lang w:eastAsia="zh-CN"/>
              </w:rPr>
            </w:pPr>
            <w:r>
              <w:rPr>
                <w:sz w:val="20"/>
                <w:szCs w:val="20"/>
                <w:lang w:eastAsia="zh-CN"/>
              </w:rPr>
              <w:lastRenderedPageBreak/>
              <w:t>CMCC</w:t>
            </w:r>
          </w:p>
        </w:tc>
        <w:tc>
          <w:tcPr>
            <w:tcW w:w="7070" w:type="dxa"/>
            <w:tcBorders>
              <w:top w:val="single" w:sz="4" w:space="0" w:color="auto"/>
              <w:left w:val="single" w:sz="4" w:space="0" w:color="auto"/>
              <w:bottom w:val="single" w:sz="4" w:space="0" w:color="auto"/>
              <w:right w:val="single" w:sz="4" w:space="0" w:color="auto"/>
            </w:tcBorders>
            <w:hideMark/>
          </w:tcPr>
          <w:p w14:paraId="21A866A5" w14:textId="77777777" w:rsidR="00FD1F32" w:rsidRDefault="00FD1F32">
            <w:pPr>
              <w:rPr>
                <w:sz w:val="20"/>
                <w:szCs w:val="20"/>
                <w:lang w:eastAsia="zh-CN"/>
              </w:rPr>
            </w:pPr>
            <w:r>
              <w:rPr>
                <w:sz w:val="20"/>
                <w:szCs w:val="20"/>
                <w:lang w:eastAsia="zh-CN"/>
              </w:rPr>
              <w:t>Support in principle and ok with Huawei’s version.</w:t>
            </w:r>
          </w:p>
          <w:p w14:paraId="547679FE" w14:textId="77777777" w:rsidR="00FD1F32" w:rsidRDefault="00FD1F32">
            <w:pPr>
              <w:rPr>
                <w:sz w:val="20"/>
                <w:szCs w:val="20"/>
                <w:lang w:eastAsia="zh-CN"/>
              </w:rPr>
            </w:pPr>
            <w:r>
              <w:rPr>
                <w:sz w:val="20"/>
                <w:szCs w:val="20"/>
                <w:lang w:eastAsia="zh-CN"/>
              </w:rPr>
              <w:t>We think the note is not needed as many companies already said. If one candidate is not monitored, then there is no need to blind decode it and count it for BD. The candidate should not be monitored and not counted for monitoring too.</w:t>
            </w:r>
          </w:p>
        </w:tc>
      </w:tr>
      <w:tr w:rsidR="00974CD3" w14:paraId="72C76295" w14:textId="77777777" w:rsidTr="00FD1F32">
        <w:tc>
          <w:tcPr>
            <w:tcW w:w="1795" w:type="dxa"/>
            <w:tcBorders>
              <w:top w:val="single" w:sz="4" w:space="0" w:color="auto"/>
              <w:left w:val="single" w:sz="4" w:space="0" w:color="auto"/>
              <w:bottom w:val="single" w:sz="4" w:space="0" w:color="auto"/>
              <w:right w:val="single" w:sz="4" w:space="0" w:color="auto"/>
            </w:tcBorders>
          </w:tcPr>
          <w:p w14:paraId="261CD490" w14:textId="53CA9CA6" w:rsidR="00974CD3" w:rsidRDefault="00974CD3">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3B13699C" w14:textId="556CC077" w:rsidR="00974CD3" w:rsidRDefault="00974CD3" w:rsidP="0010161C">
            <w:pPr>
              <w:rPr>
                <w:sz w:val="20"/>
                <w:szCs w:val="20"/>
                <w:lang w:eastAsia="zh-CN"/>
              </w:rPr>
            </w:pPr>
            <w:r>
              <w:rPr>
                <w:rFonts w:hint="eastAsia"/>
                <w:sz w:val="20"/>
                <w:szCs w:val="20"/>
                <w:lang w:eastAsia="zh-CN"/>
              </w:rPr>
              <w:t xml:space="preserve">We still prefer Option 3. </w:t>
            </w:r>
            <w:r w:rsidR="0010161C">
              <w:rPr>
                <w:sz w:val="20"/>
                <w:szCs w:val="20"/>
                <w:lang w:eastAsia="zh-CN"/>
              </w:rPr>
              <w:t xml:space="preserve">Agree with </w:t>
            </w:r>
            <w:r w:rsidR="0010161C">
              <w:rPr>
                <w:rFonts w:hint="eastAsia"/>
                <w:sz w:val="20"/>
                <w:szCs w:val="20"/>
                <w:lang w:eastAsia="zh-CN"/>
              </w:rPr>
              <w:t>Intel</w:t>
            </w:r>
            <w:r w:rsidR="0010161C">
              <w:rPr>
                <w:sz w:val="20"/>
                <w:szCs w:val="20"/>
                <w:lang w:eastAsia="zh-CN"/>
              </w:rPr>
              <w:t>’s analysis</w:t>
            </w:r>
            <w:r w:rsidR="0010161C">
              <w:rPr>
                <w:rFonts w:hint="eastAsia"/>
                <w:sz w:val="20"/>
                <w:szCs w:val="20"/>
                <w:lang w:eastAsia="zh-CN"/>
              </w:rPr>
              <w:t xml:space="preserve">, dynamic switching between </w:t>
            </w:r>
            <w:proofErr w:type="spellStart"/>
            <w:r w:rsidR="0010161C">
              <w:rPr>
                <w:rFonts w:hint="eastAsia"/>
                <w:sz w:val="20"/>
                <w:szCs w:val="20"/>
                <w:lang w:eastAsia="zh-CN"/>
              </w:rPr>
              <w:t>sTRP</w:t>
            </w:r>
            <w:proofErr w:type="spellEnd"/>
            <w:r w:rsidR="0010161C">
              <w:rPr>
                <w:rFonts w:hint="eastAsia"/>
                <w:sz w:val="20"/>
                <w:szCs w:val="20"/>
                <w:lang w:eastAsia="zh-CN"/>
              </w:rPr>
              <w:t xml:space="preserve"> and </w:t>
            </w:r>
            <w:proofErr w:type="spellStart"/>
            <w:r w:rsidR="0010161C">
              <w:rPr>
                <w:rFonts w:hint="eastAsia"/>
                <w:sz w:val="20"/>
                <w:szCs w:val="20"/>
                <w:lang w:eastAsia="zh-CN"/>
              </w:rPr>
              <w:t>mTRP</w:t>
            </w:r>
            <w:proofErr w:type="spellEnd"/>
            <w:r w:rsidR="0010161C">
              <w:rPr>
                <w:rFonts w:hint="eastAsia"/>
                <w:sz w:val="20"/>
                <w:szCs w:val="20"/>
                <w:lang w:eastAsia="zh-CN"/>
              </w:rPr>
              <w:t xml:space="preserve"> will be restricted if Option 1 is adopted.</w:t>
            </w:r>
          </w:p>
        </w:tc>
      </w:tr>
      <w:tr w:rsidR="003E31A5" w14:paraId="19B10808" w14:textId="77777777" w:rsidTr="00FD1F32">
        <w:tc>
          <w:tcPr>
            <w:tcW w:w="1795" w:type="dxa"/>
            <w:tcBorders>
              <w:top w:val="single" w:sz="4" w:space="0" w:color="auto"/>
              <w:left w:val="single" w:sz="4" w:space="0" w:color="auto"/>
              <w:bottom w:val="single" w:sz="4" w:space="0" w:color="auto"/>
              <w:right w:val="single" w:sz="4" w:space="0" w:color="auto"/>
            </w:tcBorders>
          </w:tcPr>
          <w:p w14:paraId="0D16455D" w14:textId="3AEB24CF" w:rsidR="003E31A5" w:rsidRDefault="003E31A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2A6FAF9E" w14:textId="07906969" w:rsidR="003E31A5" w:rsidRDefault="003E31A5" w:rsidP="0010161C">
            <w:pPr>
              <w:rPr>
                <w:sz w:val="20"/>
                <w:szCs w:val="20"/>
                <w:lang w:eastAsia="zh-CN"/>
              </w:rPr>
            </w:pPr>
            <w:r>
              <w:rPr>
                <w:sz w:val="20"/>
                <w:szCs w:val="20"/>
                <w:lang w:eastAsia="zh-CN"/>
              </w:rPr>
              <w:t>Support the proposal. Prefer Option 3 for its flexibility, but we can also accept Option 1 as expressed in the email discussion.</w:t>
            </w:r>
          </w:p>
        </w:tc>
      </w:tr>
    </w:tbl>
    <w:p w14:paraId="69C461E7" w14:textId="76A960CD" w:rsidR="006B608F" w:rsidRPr="00FD1F32"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 xml:space="preserve">It can be configured only if UE indicates 3 </w:t>
      </w:r>
      <w:proofErr w:type="spellStart"/>
      <w:r w:rsidRPr="00A706F5">
        <w:rPr>
          <w:rFonts w:eastAsia="DengXian"/>
          <w:b/>
          <w:bCs/>
          <w:i/>
          <w:iCs/>
          <w:kern w:val="32"/>
          <w:szCs w:val="20"/>
          <w:lang w:val="en-US" w:eastAsia="zh-CN"/>
        </w:rPr>
        <w:t>BDs.</w:t>
      </w:r>
      <w:proofErr w:type="spellEnd"/>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lastRenderedPageBreak/>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lastRenderedPageBreak/>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 xml:space="preserve">o not support. </w:t>
            </w:r>
            <w:r w:rsidRPr="00DC698D">
              <w:rPr>
                <w:rFonts w:eastAsia="Malgun Gothic"/>
                <w:color w:val="FF0000"/>
                <w:sz w:val="20"/>
                <w:szCs w:val="20"/>
                <w:lang w:eastAsia="ko-KR"/>
              </w:rPr>
              <w:t>If a UE reports 3 BDs, it means that 3 BDs are needed to decode the linked candidate</w:t>
            </w:r>
            <w:r w:rsidRPr="00DC698D">
              <w:rPr>
                <w:rFonts w:eastAsia="Malgun Gothic" w:hint="eastAsia"/>
                <w:color w:val="FF0000"/>
                <w:sz w:val="20"/>
                <w:szCs w:val="20"/>
                <w:lang w:eastAsia="ko-KR"/>
              </w:rPr>
              <w:t xml:space="preserve">s </w:t>
            </w:r>
            <w:r w:rsidRPr="00DC698D">
              <w:rPr>
                <w:rFonts w:eastAsia="Malgun Gothic"/>
                <w:color w:val="FF0000"/>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w:t>
            </w:r>
            <w:r>
              <w:rPr>
                <w:sz w:val="20"/>
                <w:szCs w:val="20"/>
                <w:lang w:eastAsia="zh-CN"/>
              </w:rPr>
              <w:lastRenderedPageBreak/>
              <w:t xml:space="preserve">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lastRenderedPageBreak/>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Pr="00DC698D" w:rsidRDefault="00AD7518" w:rsidP="00AD7518">
            <w:pPr>
              <w:pStyle w:val="ListParagraph"/>
              <w:numPr>
                <w:ilvl w:val="0"/>
                <w:numId w:val="18"/>
              </w:numPr>
              <w:ind w:firstLineChars="0"/>
              <w:rPr>
                <w:rFonts w:eastAsia="SimSun"/>
                <w:color w:val="FF0000"/>
                <w:sz w:val="20"/>
                <w:szCs w:val="20"/>
                <w:lang w:val="en-US" w:eastAsia="zh-CN"/>
              </w:rPr>
            </w:pPr>
            <w:r w:rsidRPr="00DC698D">
              <w:rPr>
                <w:rFonts w:eastAsia="SimSun"/>
                <w:color w:val="FF0000"/>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w:t>
            </w:r>
            <w:proofErr w:type="spellStart"/>
            <w:r>
              <w:rPr>
                <w:rFonts w:eastAsia="SimSun"/>
                <w:sz w:val="20"/>
                <w:szCs w:val="20"/>
                <w:lang w:val="en-US" w:eastAsia="zh-CN"/>
              </w:rPr>
              <w:t>gNB</w:t>
            </w:r>
            <w:proofErr w:type="spellEnd"/>
            <w:r>
              <w:rPr>
                <w:rFonts w:eastAsia="SimSun"/>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DengXian" w:hAnsi="Times"/>
                <w:b/>
                <w:bCs/>
                <w:i/>
                <w:iCs/>
                <w:kern w:val="32"/>
                <w:sz w:val="24"/>
                <w:szCs w:val="24"/>
                <w:u w:val="single"/>
                <w:lang w:val="en-GB" w:eastAsia="zh-CN"/>
              </w:rPr>
            </w:pPr>
          </w:p>
          <w:p w14:paraId="1E233B26" w14:textId="48A0E391" w:rsidR="00C25062" w:rsidRDefault="00C25062" w:rsidP="00C25062">
            <w:pPr>
              <w:rPr>
                <w:rFonts w:ascii="Times" w:eastAsia="DengXian" w:hAnsi="Times"/>
                <w:b/>
                <w:bCs/>
                <w:i/>
                <w:iCs/>
                <w:kern w:val="32"/>
                <w:sz w:val="24"/>
                <w:szCs w:val="24"/>
                <w:lang w:val="en-GB"/>
              </w:rPr>
            </w:pPr>
            <w:r>
              <w:rPr>
                <w:rFonts w:ascii="Times" w:eastAsia="DengXian" w:hAnsi="Times"/>
                <w:b/>
                <w:bCs/>
                <w:i/>
                <w:iCs/>
                <w:kern w:val="32"/>
                <w:sz w:val="24"/>
                <w:szCs w:val="24"/>
                <w:u w:val="single"/>
                <w:lang w:val="en-GB" w:eastAsia="zh-CN"/>
              </w:rPr>
              <w:t>Proposed conclusion</w:t>
            </w:r>
            <w:r>
              <w:rPr>
                <w:rFonts w:ascii="Times" w:eastAsia="DengXian" w:hAnsi="Times"/>
                <w:b/>
                <w:bCs/>
                <w:i/>
                <w:iCs/>
                <w:kern w:val="32"/>
                <w:sz w:val="24"/>
                <w:szCs w:val="24"/>
                <w:lang w:val="en-GB" w:eastAsia="zh-CN"/>
              </w:rPr>
              <w:t xml:space="preserve">: </w:t>
            </w:r>
            <w:r>
              <w:rPr>
                <w:rFonts w:ascii="Times" w:eastAsia="DengXian" w:hAnsi="Times"/>
                <w:b/>
                <w:bCs/>
                <w:i/>
                <w:iCs/>
                <w:kern w:val="32"/>
                <w:sz w:val="24"/>
                <w:szCs w:val="24"/>
                <w:lang w:val="en-GB"/>
              </w:rPr>
              <w:t xml:space="preserve">When 3 BDs are supported and configured, it implies </w:t>
            </w:r>
            <w:r w:rsidRPr="00C25062">
              <w:rPr>
                <w:rFonts w:ascii="Times" w:eastAsia="DengXian" w:hAnsi="Times"/>
                <w:b/>
                <w:bCs/>
                <w:i/>
                <w:iCs/>
                <w:kern w:val="32"/>
                <w:sz w:val="24"/>
                <w:szCs w:val="24"/>
                <w:highlight w:val="yellow"/>
                <w:lang w:val="en-GB"/>
              </w:rPr>
              <w:t>UE performs both soft combining</w:t>
            </w:r>
            <w:r>
              <w:rPr>
                <w:rFonts w:ascii="Times" w:eastAsia="DengXian"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r w:rsidR="00F413F5">
              <w:rPr>
                <w:sz w:val="20"/>
                <w:szCs w:val="20"/>
                <w:lang w:eastAsia="zh-CN"/>
              </w:rPr>
              <w:t>for 2 BDs and 3BDs, higher UE processing capability is required for 2BDs.Then</w:t>
            </w:r>
            <w:r w:rsidR="00F413F5" w:rsidRPr="00DC698D">
              <w:rPr>
                <w:color w:val="FF0000"/>
                <w:sz w:val="20"/>
                <w:szCs w:val="20"/>
                <w:lang w:eastAsia="zh-CN"/>
              </w:rPr>
              <w:t xml:space="preserve">, if UE reports 3BDs, and </w:t>
            </w:r>
            <w:proofErr w:type="spellStart"/>
            <w:r w:rsidR="00F413F5" w:rsidRPr="00DC698D">
              <w:rPr>
                <w:color w:val="FF0000"/>
                <w:sz w:val="20"/>
                <w:szCs w:val="20"/>
                <w:lang w:eastAsia="zh-CN"/>
              </w:rPr>
              <w:t>gNB</w:t>
            </w:r>
            <w:proofErr w:type="spellEnd"/>
            <w:r w:rsidR="00F413F5" w:rsidRPr="00DC698D">
              <w:rPr>
                <w:color w:val="FF0000"/>
                <w:sz w:val="20"/>
                <w:szCs w:val="20"/>
                <w:lang w:eastAsia="zh-CN"/>
              </w:rPr>
              <w:t xml:space="preserve"> not configures, why 2BDs is default.</w:t>
            </w:r>
            <w:r w:rsidR="00F413F5">
              <w:rPr>
                <w:sz w:val="20"/>
                <w:szCs w:val="20"/>
                <w:lang w:eastAsia="zh-CN"/>
              </w:rPr>
              <w:t xml:space="preserve">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r w:rsidR="00FC6985" w14:paraId="0105820B" w14:textId="77777777" w:rsidTr="00291C2A">
        <w:tc>
          <w:tcPr>
            <w:tcW w:w="1795" w:type="dxa"/>
          </w:tcPr>
          <w:p w14:paraId="07BF5313" w14:textId="76BAFA3A" w:rsidR="00FC6985" w:rsidRDefault="00FC6985" w:rsidP="00AD7518">
            <w:pPr>
              <w:autoSpaceDE w:val="0"/>
              <w:autoSpaceDN w:val="0"/>
              <w:adjustRightInd w:val="0"/>
              <w:snapToGrid w:val="0"/>
              <w:rPr>
                <w:sz w:val="20"/>
                <w:szCs w:val="20"/>
                <w:lang w:eastAsia="zh-CN"/>
              </w:rPr>
            </w:pPr>
            <w:r>
              <w:rPr>
                <w:sz w:val="20"/>
                <w:szCs w:val="20"/>
                <w:lang w:eastAsia="zh-CN"/>
              </w:rPr>
              <w:t>CMCC</w:t>
            </w:r>
          </w:p>
        </w:tc>
        <w:tc>
          <w:tcPr>
            <w:tcW w:w="7070" w:type="dxa"/>
          </w:tcPr>
          <w:p w14:paraId="76071494" w14:textId="77777777" w:rsidR="00FC6985" w:rsidRDefault="00FC6985" w:rsidP="00AD7518">
            <w:pPr>
              <w:rPr>
                <w:sz w:val="20"/>
                <w:szCs w:val="20"/>
                <w:lang w:eastAsia="zh-CN"/>
              </w:rPr>
            </w:pPr>
            <w:r>
              <w:rPr>
                <w:sz w:val="20"/>
                <w:szCs w:val="20"/>
                <w:lang w:eastAsia="zh-CN"/>
              </w:rPr>
              <w:t>Support the Proposal 4.</w:t>
            </w:r>
          </w:p>
          <w:p w14:paraId="51E2B34D" w14:textId="644E91F4" w:rsidR="00FC6985" w:rsidRDefault="00FC6985" w:rsidP="00AD7518">
            <w:pPr>
              <w:rPr>
                <w:sz w:val="20"/>
                <w:szCs w:val="20"/>
                <w:lang w:eastAsia="zh-CN"/>
              </w:rPr>
            </w:pPr>
            <w:r>
              <w:rPr>
                <w:rFonts w:hint="eastAsia"/>
                <w:sz w:val="20"/>
                <w:szCs w:val="20"/>
                <w:lang w:eastAsia="zh-CN"/>
              </w:rPr>
              <w:t>N</w:t>
            </w:r>
            <w:r>
              <w:rPr>
                <w:sz w:val="20"/>
                <w:szCs w:val="20"/>
                <w:lang w:eastAsia="zh-CN"/>
              </w:rPr>
              <w:t>ot support the conclusion since it is unnecessary.</w:t>
            </w:r>
          </w:p>
        </w:tc>
      </w:tr>
      <w:tr w:rsidR="00974CD3" w14:paraId="2CF665C0" w14:textId="77777777" w:rsidTr="00291C2A">
        <w:tc>
          <w:tcPr>
            <w:tcW w:w="1795" w:type="dxa"/>
          </w:tcPr>
          <w:p w14:paraId="0AD83CC5" w14:textId="1582FF4F" w:rsidR="00974CD3" w:rsidRDefault="00974CD3" w:rsidP="00AD7518">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3AA4FFE" w14:textId="77777777" w:rsidR="00974CD3" w:rsidRDefault="00974CD3" w:rsidP="00974CD3">
            <w:pPr>
              <w:rPr>
                <w:sz w:val="20"/>
                <w:szCs w:val="20"/>
                <w:lang w:eastAsia="zh-CN"/>
              </w:rPr>
            </w:pPr>
            <w:r>
              <w:rPr>
                <w:rFonts w:hint="eastAsia"/>
                <w:sz w:val="20"/>
                <w:szCs w:val="20"/>
                <w:lang w:eastAsia="zh-CN"/>
              </w:rPr>
              <w:t>Support the FL proposal 4.</w:t>
            </w:r>
          </w:p>
          <w:p w14:paraId="24A01946" w14:textId="37CB8390" w:rsidR="00974CD3" w:rsidRDefault="00974CD3" w:rsidP="00974CD3">
            <w:pPr>
              <w:rPr>
                <w:sz w:val="20"/>
                <w:szCs w:val="20"/>
                <w:lang w:eastAsia="zh-CN"/>
              </w:rPr>
            </w:pPr>
            <w:r>
              <w:rPr>
                <w:rFonts w:hint="eastAsia"/>
                <w:sz w:val="20"/>
                <w:szCs w:val="20"/>
                <w:lang w:eastAsia="zh-CN"/>
              </w:rPr>
              <w:t xml:space="preserve">We do not support the proposed conclusion. When 3BDs are configured, UE can still </w:t>
            </w:r>
            <w:r>
              <w:rPr>
                <w:rFonts w:hint="eastAsia"/>
                <w:sz w:val="20"/>
                <w:szCs w:val="20"/>
                <w:lang w:eastAsia="zh-CN"/>
              </w:rPr>
              <w:lastRenderedPageBreak/>
              <w:t>perform 2BDs related decoding.</w:t>
            </w:r>
          </w:p>
        </w:tc>
      </w:tr>
      <w:tr w:rsidR="00A6744A" w14:paraId="4645A250" w14:textId="77777777" w:rsidTr="00291C2A">
        <w:tc>
          <w:tcPr>
            <w:tcW w:w="1795" w:type="dxa"/>
          </w:tcPr>
          <w:p w14:paraId="7D08C001" w14:textId="6C1AB058" w:rsidR="00A6744A" w:rsidRDefault="00A6744A" w:rsidP="00AD7518">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Pr>
          <w:p w14:paraId="6B4A6A44" w14:textId="77777777" w:rsidR="00A6744A" w:rsidRDefault="00A6744A" w:rsidP="00974CD3">
            <w:pPr>
              <w:rPr>
                <w:sz w:val="20"/>
                <w:szCs w:val="20"/>
                <w:lang w:eastAsia="zh-CN"/>
              </w:rPr>
            </w:pPr>
            <w:r>
              <w:rPr>
                <w:sz w:val="20"/>
                <w:szCs w:val="20"/>
                <w:lang w:eastAsia="zh-CN"/>
              </w:rPr>
              <w:t>For the FL proposal 4: Several companies suggested to use 3 as default if the UE reports 3. We would support the proposal if this can be addressed. We support the 2 points proposed by OPPO.</w:t>
            </w:r>
          </w:p>
          <w:p w14:paraId="53BAF494" w14:textId="025C708D" w:rsidR="00A6744A" w:rsidRDefault="00A6744A" w:rsidP="00974CD3">
            <w:pPr>
              <w:rPr>
                <w:sz w:val="20"/>
                <w:szCs w:val="20"/>
                <w:lang w:eastAsia="zh-CN"/>
              </w:rPr>
            </w:pPr>
            <w:r>
              <w:rPr>
                <w:sz w:val="20"/>
                <w:szCs w:val="20"/>
                <w:lang w:eastAsia="zh-CN"/>
              </w:rPr>
              <w:t xml:space="preserve">We support the </w:t>
            </w:r>
            <w:proofErr w:type="gramStart"/>
            <w:r>
              <w:rPr>
                <w:sz w:val="20"/>
                <w:szCs w:val="20"/>
                <w:lang w:eastAsia="zh-CN"/>
              </w:rPr>
              <w:t>conclusion, but</w:t>
            </w:r>
            <w:proofErr w:type="gramEnd"/>
            <w:r>
              <w:rPr>
                <w:sz w:val="20"/>
                <w:szCs w:val="20"/>
                <w:lang w:eastAsia="zh-CN"/>
              </w:rPr>
              <w:t xml:space="preserve"> are fine to include / not include it.</w:t>
            </w:r>
          </w:p>
        </w:tc>
      </w:tr>
    </w:tbl>
    <w:p w14:paraId="2CB1E305" w14:textId="2DC1D4C5" w:rsidR="006B608F" w:rsidRDefault="006B608F">
      <w:pPr>
        <w:rPr>
          <w:rFonts w:ascii="Times New Roman" w:hAnsi="Times New Roman" w:cs="Times New Roman"/>
          <w:lang w:eastAsia="zh-CN"/>
        </w:rPr>
      </w:pPr>
    </w:p>
    <w:p w14:paraId="75880760" w14:textId="77777777" w:rsidR="00F3032E" w:rsidRDefault="00F3032E" w:rsidP="00F3032E">
      <w:pPr>
        <w:pStyle w:val="Heading2"/>
        <w:spacing w:after="120"/>
        <w:rPr>
          <w:rFonts w:ascii="Calibri" w:eastAsia="Batang" w:hAnsi="Calibri" w:cs="Calibri"/>
          <w:b/>
          <w:bCs/>
          <w:sz w:val="28"/>
        </w:rPr>
      </w:pPr>
      <w:r>
        <w:rPr>
          <w:rFonts w:ascii="Calibri" w:eastAsia="Batang" w:hAnsi="Calibri" w:cs="Calibri"/>
          <w:b/>
          <w:bCs/>
          <w:sz w:val="28"/>
        </w:rPr>
        <w:t>Second Update</w:t>
      </w:r>
    </w:p>
    <w:p w14:paraId="7E8FD712" w14:textId="77777777" w:rsidR="00F3032E" w:rsidRDefault="00F3032E" w:rsidP="00F3032E">
      <w:pPr>
        <w:rPr>
          <w:rFonts w:ascii="Times New Roman" w:hAnsi="Times New Roman" w:cs="Times New Roman"/>
          <w:lang w:eastAsia="zh-CN"/>
        </w:rPr>
      </w:pPr>
      <w:r>
        <w:rPr>
          <w:rFonts w:ascii="Times New Roman" w:hAnsi="Times New Roman" w:cs="Times New Roman"/>
          <w:lang w:eastAsia="zh-CN"/>
        </w:rPr>
        <w:t xml:space="preserve">Views on </w:t>
      </w:r>
      <w:r w:rsidRPr="00BB7229">
        <w:rPr>
          <w:rFonts w:ascii="Times New Roman" w:hAnsi="Times New Roman" w:cs="Times New Roman"/>
          <w:lang w:eastAsia="zh-CN"/>
        </w:rPr>
        <w:t>Proposal 4 is</w:t>
      </w:r>
      <w:r>
        <w:rPr>
          <w:rFonts w:ascii="Times New Roman" w:hAnsi="Times New Roman" w:cs="Times New Roman"/>
          <w:lang w:eastAsia="zh-CN"/>
        </w:rPr>
        <w:t xml:space="preserve"> summarized below:</w:t>
      </w:r>
    </w:p>
    <w:p w14:paraId="6F3ADC6D" w14:textId="53DDF8DE" w:rsidR="00F3032E" w:rsidRPr="00076343" w:rsidRDefault="00F3032E" w:rsidP="00F3032E">
      <w:pPr>
        <w:pStyle w:val="ListParagraph"/>
        <w:numPr>
          <w:ilvl w:val="0"/>
          <w:numId w:val="35"/>
        </w:numPr>
        <w:ind w:firstLineChars="0"/>
        <w:rPr>
          <w:b/>
          <w:bCs/>
          <w:sz w:val="22"/>
          <w:szCs w:val="22"/>
          <w:lang w:eastAsia="zh-CN"/>
        </w:rPr>
      </w:pPr>
      <w:r w:rsidRPr="00076343">
        <w:rPr>
          <w:b/>
          <w:bCs/>
          <w:sz w:val="22"/>
          <w:szCs w:val="22"/>
          <w:lang w:val="en-US" w:eastAsia="zh-CN"/>
        </w:rPr>
        <w:t>Support / ok: ZTE, NTT Docomo, MediaTek, NEC, Intel, Huawei/</w:t>
      </w:r>
      <w:proofErr w:type="spellStart"/>
      <w:r w:rsidRPr="00076343">
        <w:rPr>
          <w:b/>
          <w:bCs/>
          <w:sz w:val="22"/>
          <w:szCs w:val="22"/>
          <w:lang w:val="en-US" w:eastAsia="zh-CN"/>
        </w:rPr>
        <w:t>HiSilicon</w:t>
      </w:r>
      <w:proofErr w:type="spellEnd"/>
      <w:r w:rsidRPr="00076343">
        <w:rPr>
          <w:b/>
          <w:bCs/>
          <w:sz w:val="22"/>
          <w:szCs w:val="22"/>
          <w:lang w:val="en-US" w:eastAsia="zh-CN"/>
        </w:rPr>
        <w:t>, Xiaomi, Lenovo/</w:t>
      </w:r>
      <w:proofErr w:type="spellStart"/>
      <w:r w:rsidRPr="00076343">
        <w:rPr>
          <w:b/>
          <w:bCs/>
          <w:sz w:val="22"/>
          <w:szCs w:val="22"/>
          <w:lang w:val="en-US" w:eastAsia="zh-CN"/>
        </w:rPr>
        <w:t>MotM</w:t>
      </w:r>
      <w:proofErr w:type="spellEnd"/>
      <w:r w:rsidRPr="00076343">
        <w:rPr>
          <w:b/>
          <w:bCs/>
          <w:sz w:val="22"/>
          <w:szCs w:val="22"/>
          <w:lang w:val="en-US" w:eastAsia="zh-CN"/>
        </w:rPr>
        <w:t xml:space="preserve"> (first bullet), OPPO (first bullet), vivo, Fraunhofer IIS/HHI, Nokia, </w:t>
      </w:r>
      <w:proofErr w:type="spellStart"/>
      <w:r w:rsidRPr="00076343">
        <w:rPr>
          <w:b/>
          <w:bCs/>
          <w:sz w:val="22"/>
          <w:szCs w:val="22"/>
          <w:lang w:val="en-US" w:eastAsia="zh-CN"/>
        </w:rPr>
        <w:t>Convida</w:t>
      </w:r>
      <w:proofErr w:type="spellEnd"/>
      <w:r w:rsidRPr="00076343">
        <w:rPr>
          <w:b/>
          <w:bCs/>
          <w:sz w:val="22"/>
          <w:szCs w:val="22"/>
          <w:lang w:val="en-US" w:eastAsia="zh-CN"/>
        </w:rPr>
        <w:t xml:space="preserve"> Wireless, QC</w:t>
      </w:r>
      <w:r>
        <w:rPr>
          <w:b/>
          <w:bCs/>
          <w:sz w:val="22"/>
          <w:szCs w:val="22"/>
          <w:lang w:val="en-US" w:eastAsia="zh-CN"/>
        </w:rPr>
        <w:t xml:space="preserve">, </w:t>
      </w:r>
      <w:proofErr w:type="spellStart"/>
      <w:r w:rsidRPr="00306FCF">
        <w:rPr>
          <w:b/>
          <w:bCs/>
          <w:sz w:val="22"/>
          <w:szCs w:val="22"/>
          <w:lang w:val="en-US" w:eastAsia="zh-CN"/>
        </w:rPr>
        <w:t>Spreadtrum</w:t>
      </w:r>
      <w:proofErr w:type="spellEnd"/>
      <w:r>
        <w:rPr>
          <w:b/>
          <w:bCs/>
          <w:sz w:val="22"/>
          <w:szCs w:val="22"/>
          <w:lang w:val="en-US" w:eastAsia="zh-CN"/>
        </w:rPr>
        <w:t xml:space="preserve"> (first bullet), </w:t>
      </w:r>
      <w:r w:rsidRPr="00F3032E">
        <w:rPr>
          <w:b/>
          <w:bCs/>
          <w:sz w:val="22"/>
          <w:szCs w:val="22"/>
          <w:lang w:val="en-US" w:eastAsia="zh-CN"/>
        </w:rPr>
        <w:t>CMCC</w:t>
      </w:r>
      <w:r>
        <w:rPr>
          <w:b/>
          <w:bCs/>
          <w:sz w:val="22"/>
          <w:szCs w:val="22"/>
          <w:lang w:val="en-US" w:eastAsia="zh-CN"/>
        </w:rPr>
        <w:t xml:space="preserve">, </w:t>
      </w:r>
      <w:r w:rsidRPr="00F3032E">
        <w:rPr>
          <w:b/>
          <w:bCs/>
          <w:sz w:val="22"/>
          <w:szCs w:val="22"/>
          <w:lang w:val="en-US" w:eastAsia="zh-CN"/>
        </w:rPr>
        <w:t>CATT</w:t>
      </w:r>
      <w:r>
        <w:rPr>
          <w:b/>
          <w:bCs/>
          <w:sz w:val="22"/>
          <w:szCs w:val="22"/>
          <w:lang w:val="en-US" w:eastAsia="zh-CN"/>
        </w:rPr>
        <w:t xml:space="preserve">, </w:t>
      </w:r>
      <w:proofErr w:type="spellStart"/>
      <w:r w:rsidRPr="00F3032E">
        <w:rPr>
          <w:b/>
          <w:bCs/>
          <w:sz w:val="22"/>
          <w:szCs w:val="22"/>
          <w:lang w:val="en-US" w:eastAsia="zh-CN"/>
        </w:rPr>
        <w:t>Futurewei</w:t>
      </w:r>
      <w:proofErr w:type="spellEnd"/>
      <w:r w:rsidR="00C109F5">
        <w:rPr>
          <w:b/>
          <w:bCs/>
          <w:sz w:val="22"/>
          <w:szCs w:val="22"/>
          <w:lang w:val="en-US" w:eastAsia="zh-CN"/>
        </w:rPr>
        <w:t xml:space="preserve"> (first bullet)</w:t>
      </w:r>
    </w:p>
    <w:p w14:paraId="40272A6C" w14:textId="77777777" w:rsidR="00F3032E" w:rsidRPr="00076343" w:rsidRDefault="00F3032E" w:rsidP="00F3032E">
      <w:pPr>
        <w:pStyle w:val="ListParagraph"/>
        <w:numPr>
          <w:ilvl w:val="0"/>
          <w:numId w:val="35"/>
        </w:numPr>
        <w:ind w:firstLineChars="0"/>
        <w:rPr>
          <w:b/>
          <w:bCs/>
          <w:sz w:val="22"/>
          <w:szCs w:val="22"/>
          <w:lang w:eastAsia="zh-CN"/>
        </w:rPr>
      </w:pPr>
      <w:r w:rsidRPr="00076343">
        <w:rPr>
          <w:b/>
          <w:bCs/>
          <w:sz w:val="22"/>
          <w:szCs w:val="22"/>
          <w:lang w:val="en-US" w:eastAsia="zh-CN"/>
        </w:rPr>
        <w:t xml:space="preserve">Not support: Samsung, </w:t>
      </w:r>
      <w:proofErr w:type="spellStart"/>
      <w:r w:rsidRPr="00076343">
        <w:rPr>
          <w:b/>
          <w:bCs/>
          <w:sz w:val="22"/>
          <w:szCs w:val="22"/>
          <w:lang w:val="en-US" w:eastAsia="zh-CN"/>
        </w:rPr>
        <w:t>InterDigital</w:t>
      </w:r>
      <w:proofErr w:type="spellEnd"/>
    </w:p>
    <w:p w14:paraId="39934F92" w14:textId="77777777" w:rsidR="00F3032E" w:rsidRDefault="00F3032E" w:rsidP="00F3032E">
      <w:pPr>
        <w:rPr>
          <w:lang w:eastAsia="zh-CN"/>
        </w:rPr>
      </w:pPr>
    </w:p>
    <w:p w14:paraId="636061D0" w14:textId="77777777" w:rsidR="00F3032E" w:rsidRDefault="00F3032E" w:rsidP="00F3032E">
      <w:pPr>
        <w:rPr>
          <w:rFonts w:ascii="Times New Roman" w:hAnsi="Times New Roman" w:cs="Times New Roman"/>
          <w:lang w:eastAsia="zh-CN"/>
        </w:rPr>
      </w:pPr>
      <w:r>
        <w:rPr>
          <w:rFonts w:ascii="Times New Roman" w:hAnsi="Times New Roman" w:cs="Times New Roman"/>
          <w:lang w:eastAsia="zh-CN"/>
        </w:rPr>
        <w:t>There are</w:t>
      </w:r>
      <w:r w:rsidRPr="003B24D9">
        <w:rPr>
          <w:rFonts w:ascii="Times New Roman" w:hAnsi="Times New Roman" w:cs="Times New Roman"/>
          <w:lang w:eastAsia="zh-CN"/>
        </w:rPr>
        <w:t xml:space="preserve"> some questions</w:t>
      </w:r>
      <w:r>
        <w:rPr>
          <w:rFonts w:ascii="Times New Roman" w:hAnsi="Times New Roman" w:cs="Times New Roman"/>
          <w:lang w:eastAsia="zh-CN"/>
        </w:rPr>
        <w:t xml:space="preserve"> / different preferences on default of 2 BDs (</w:t>
      </w:r>
      <w:proofErr w:type="spellStart"/>
      <w:r w:rsidRPr="009E4DFD">
        <w:rPr>
          <w:rFonts w:ascii="Times New Roman" w:hAnsi="Times New Roman" w:cs="Times New Roman"/>
          <w:lang w:eastAsia="zh-CN"/>
        </w:rPr>
        <w:t>Futurewei</w:t>
      </w:r>
      <w:proofErr w:type="spellEnd"/>
      <w:r>
        <w:rPr>
          <w:rFonts w:ascii="Times New Roman" w:hAnsi="Times New Roman" w:cs="Times New Roman"/>
          <w:lang w:eastAsia="zh-CN"/>
        </w:rPr>
        <w:t xml:space="preserve">, </w:t>
      </w:r>
      <w:r w:rsidRPr="00DE6A98">
        <w:rPr>
          <w:rFonts w:ascii="Times New Roman" w:hAnsi="Times New Roman" w:cs="Times New Roman"/>
          <w:lang w:eastAsia="zh-CN"/>
        </w:rPr>
        <w:t>Lenovo/</w:t>
      </w:r>
      <w:proofErr w:type="spellStart"/>
      <w:r w:rsidRPr="00DE6A98">
        <w:rPr>
          <w:rFonts w:ascii="Times New Roman" w:hAnsi="Times New Roman" w:cs="Times New Roman"/>
          <w:lang w:eastAsia="zh-CN"/>
        </w:rPr>
        <w:t>MotM</w:t>
      </w:r>
      <w:proofErr w:type="spellEnd"/>
      <w:r>
        <w:rPr>
          <w:rFonts w:ascii="Times New Roman" w:hAnsi="Times New Roman" w:cs="Times New Roman"/>
          <w:lang w:eastAsia="zh-CN"/>
        </w:rPr>
        <w:t xml:space="preserve">, OPPO, </w:t>
      </w:r>
      <w:proofErr w:type="spellStart"/>
      <w:r w:rsidRPr="00306FCF">
        <w:rPr>
          <w:rFonts w:ascii="Times New Roman" w:hAnsi="Times New Roman" w:cs="Times New Roman"/>
          <w:lang w:eastAsia="zh-CN"/>
        </w:rPr>
        <w:t>Spreadtrum</w:t>
      </w:r>
      <w:proofErr w:type="spellEnd"/>
      <w:r>
        <w:rPr>
          <w:rFonts w:ascii="Times New Roman" w:hAnsi="Times New Roman" w:cs="Times New Roman"/>
          <w:lang w:eastAsia="zh-CN"/>
        </w:rPr>
        <w:t>). Given that the default UE capability / RRC configuration is not very critical to decide at this point, the proposal is modified below. However, it is important to decide whether RRC configuration is needed or not.</w:t>
      </w:r>
    </w:p>
    <w:p w14:paraId="0395573C" w14:textId="570F3E8A" w:rsidR="00F3032E" w:rsidRDefault="00F3032E" w:rsidP="00F3032E">
      <w:pPr>
        <w:rPr>
          <w:rFonts w:ascii="Times New Roman" w:hAnsi="Times New Roman" w:cs="Times New Roman"/>
          <w:lang w:eastAsia="zh-CN"/>
        </w:rPr>
      </w:pPr>
      <w:r>
        <w:rPr>
          <w:rFonts w:ascii="Times New Roman" w:hAnsi="Times New Roman" w:cs="Times New Roman"/>
          <w:lang w:eastAsia="zh-CN"/>
        </w:rPr>
        <w:t>On the proposed conclusion, the situation is same as before</w:t>
      </w:r>
      <w:r w:rsidR="00AD6B20">
        <w:rPr>
          <w:rFonts w:ascii="Times New Roman" w:hAnsi="Times New Roman" w:cs="Times New Roman"/>
          <w:lang w:eastAsia="zh-CN"/>
        </w:rPr>
        <w:t xml:space="preserve"> (concern from multiple companies)</w:t>
      </w:r>
      <w:r>
        <w:rPr>
          <w:rFonts w:ascii="Times New Roman" w:hAnsi="Times New Roman" w:cs="Times New Roman"/>
          <w:lang w:eastAsia="zh-CN"/>
        </w:rPr>
        <w:t>.</w:t>
      </w:r>
    </w:p>
    <w:p w14:paraId="13405724" w14:textId="77777777" w:rsidR="00F3032E" w:rsidRDefault="00F3032E" w:rsidP="00F3032E">
      <w:pPr>
        <w:rPr>
          <w:rFonts w:ascii="Times New Roman" w:hAnsi="Times New Roman" w:cs="Times New Roman"/>
          <w:lang w:eastAsia="zh-CN"/>
        </w:rPr>
      </w:pPr>
    </w:p>
    <w:p w14:paraId="265BB85A" w14:textId="77777777" w:rsidR="00F3032E" w:rsidRDefault="00F3032E" w:rsidP="00F3032E">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w:t>
      </w:r>
      <w:r w:rsidRPr="009D6296">
        <w:rPr>
          <w:rFonts w:ascii="Times" w:eastAsia="DengXian" w:hAnsi="Times" w:cs="Times New Roman"/>
          <w:b/>
          <w:bCs/>
          <w:i/>
          <w:iCs/>
          <w:color w:val="FF0000"/>
          <w:kern w:val="32"/>
          <w:sz w:val="24"/>
          <w:szCs w:val="40"/>
          <w:lang w:val="en-GB" w:eastAsia="zh-CN"/>
        </w:rPr>
        <w:t>2 or</w:t>
      </w:r>
      <w:r>
        <w:rPr>
          <w:rFonts w:ascii="Times" w:eastAsia="DengXian" w:hAnsi="Times" w:cs="Times New Roman"/>
          <w:b/>
          <w:bCs/>
          <w:i/>
          <w:iCs/>
          <w:kern w:val="32"/>
          <w:sz w:val="24"/>
          <w:szCs w:val="40"/>
          <w:lang w:val="en-GB" w:eastAsia="zh-CN"/>
        </w:rPr>
        <w:t xml:space="preserve"> 3 BDs is supported.   </w:t>
      </w:r>
    </w:p>
    <w:p w14:paraId="27BC17FC" w14:textId="77777777" w:rsidR="00F3032E" w:rsidRDefault="00F3032E" w:rsidP="00F3032E">
      <w:pPr>
        <w:pStyle w:val="ListParagraph"/>
        <w:numPr>
          <w:ilvl w:val="0"/>
          <w:numId w:val="18"/>
        </w:numPr>
        <w:ind w:firstLineChars="0"/>
        <w:rPr>
          <w:rFonts w:ascii="Times" w:eastAsia="DengXian" w:hAnsi="Times"/>
          <w:b/>
          <w:bCs/>
          <w:i/>
          <w:iCs/>
          <w:kern w:val="32"/>
          <w:szCs w:val="40"/>
          <w:lang w:val="en-GB" w:eastAsia="zh-CN"/>
        </w:rPr>
      </w:pPr>
      <w:r w:rsidRPr="00D22DE8">
        <w:rPr>
          <w:rFonts w:ascii="Times" w:eastAsia="DengXian" w:hAnsi="Times"/>
          <w:b/>
          <w:bCs/>
          <w:i/>
          <w:iCs/>
          <w:strike/>
          <w:color w:val="FF0000"/>
          <w:kern w:val="32"/>
          <w:szCs w:val="40"/>
          <w:lang w:val="en-GB" w:eastAsia="zh-CN"/>
        </w:rPr>
        <w:t xml:space="preserve">It </w:t>
      </w:r>
      <w:r w:rsidRPr="00D22DE8">
        <w:rPr>
          <w:rFonts w:ascii="Times" w:eastAsia="DengXian" w:hAnsi="Times"/>
          <w:b/>
          <w:bCs/>
          <w:i/>
          <w:iCs/>
          <w:color w:val="FF0000"/>
          <w:kern w:val="32"/>
          <w:szCs w:val="40"/>
          <w:lang w:val="en-GB" w:eastAsia="zh-CN"/>
        </w:rPr>
        <w:t xml:space="preserve">3 BDs </w:t>
      </w:r>
      <w:r>
        <w:rPr>
          <w:rFonts w:ascii="Times" w:eastAsia="DengXian" w:hAnsi="Times"/>
          <w:b/>
          <w:bCs/>
          <w:i/>
          <w:iCs/>
          <w:kern w:val="32"/>
          <w:szCs w:val="40"/>
          <w:lang w:val="en-GB" w:eastAsia="zh-CN"/>
        </w:rPr>
        <w:t xml:space="preserve">can be configured only if UE indicates 3 </w:t>
      </w:r>
      <w:proofErr w:type="spellStart"/>
      <w:r>
        <w:rPr>
          <w:rFonts w:ascii="Times" w:eastAsia="DengXian" w:hAnsi="Times"/>
          <w:b/>
          <w:bCs/>
          <w:i/>
          <w:iCs/>
          <w:kern w:val="32"/>
          <w:szCs w:val="40"/>
          <w:lang w:val="en-GB" w:eastAsia="zh-CN"/>
        </w:rPr>
        <w:t>BDs.</w:t>
      </w:r>
      <w:proofErr w:type="spellEnd"/>
    </w:p>
    <w:p w14:paraId="75F0D65E" w14:textId="77777777" w:rsidR="00F3032E" w:rsidRPr="000C0157" w:rsidRDefault="00F3032E" w:rsidP="00F3032E">
      <w:pPr>
        <w:pStyle w:val="ListParagraph"/>
        <w:numPr>
          <w:ilvl w:val="0"/>
          <w:numId w:val="18"/>
        </w:numPr>
        <w:ind w:firstLineChars="0"/>
        <w:rPr>
          <w:rFonts w:ascii="Times" w:eastAsia="DengXian" w:hAnsi="Times"/>
          <w:b/>
          <w:bCs/>
          <w:i/>
          <w:iCs/>
          <w:strike/>
          <w:color w:val="FF0000"/>
          <w:kern w:val="32"/>
          <w:szCs w:val="40"/>
          <w:lang w:val="en-GB" w:eastAsia="zh-CN"/>
        </w:rPr>
      </w:pPr>
      <w:r w:rsidRPr="00D22DE8">
        <w:rPr>
          <w:rFonts w:ascii="Times" w:eastAsia="DengXian" w:hAnsi="Times"/>
          <w:b/>
          <w:bCs/>
          <w:i/>
          <w:iCs/>
          <w:strike/>
          <w:color w:val="FF0000"/>
          <w:kern w:val="32"/>
          <w:szCs w:val="40"/>
          <w:lang w:val="en-GB" w:eastAsia="zh-CN"/>
        </w:rPr>
        <w:t>If not configured, 2 BDs are assumed.</w:t>
      </w:r>
      <w:r w:rsidRPr="00885529">
        <w:rPr>
          <w:rFonts w:ascii="Times" w:eastAsia="DengXian" w:hAnsi="Times"/>
          <w:b/>
          <w:bCs/>
          <w:i/>
          <w:iCs/>
          <w:color w:val="FF0000"/>
          <w:kern w:val="32"/>
          <w:szCs w:val="40"/>
          <w:lang w:val="en-GB" w:eastAsia="zh-CN"/>
        </w:rPr>
        <w:t xml:space="preserve"> 2</w:t>
      </w:r>
      <w:r>
        <w:rPr>
          <w:rFonts w:ascii="Times" w:eastAsia="DengXian" w:hAnsi="Times"/>
          <w:b/>
          <w:bCs/>
          <w:i/>
          <w:iCs/>
          <w:color w:val="FF0000"/>
          <w:kern w:val="32"/>
          <w:szCs w:val="40"/>
          <w:lang w:val="en-GB" w:eastAsia="zh-CN"/>
        </w:rPr>
        <w:t xml:space="preserve"> BDs can be configured even when UE indicates 3 </w:t>
      </w:r>
      <w:proofErr w:type="spellStart"/>
      <w:r>
        <w:rPr>
          <w:rFonts w:ascii="Times" w:eastAsia="DengXian" w:hAnsi="Times"/>
          <w:b/>
          <w:bCs/>
          <w:i/>
          <w:iCs/>
          <w:color w:val="FF0000"/>
          <w:kern w:val="32"/>
          <w:szCs w:val="40"/>
          <w:lang w:val="en-GB" w:eastAsia="zh-CN"/>
        </w:rPr>
        <w:t>BDs.</w:t>
      </w:r>
      <w:proofErr w:type="spellEnd"/>
    </w:p>
    <w:p w14:paraId="335CBA5A" w14:textId="77777777" w:rsidR="00F3032E" w:rsidRPr="00D22DE8" w:rsidRDefault="00F3032E" w:rsidP="00F3032E">
      <w:pPr>
        <w:pStyle w:val="ListParagraph"/>
        <w:numPr>
          <w:ilvl w:val="0"/>
          <w:numId w:val="18"/>
        </w:numPr>
        <w:ind w:firstLineChars="0"/>
        <w:rPr>
          <w:rFonts w:ascii="Times" w:eastAsia="DengXian" w:hAnsi="Times"/>
          <w:b/>
          <w:bCs/>
          <w:i/>
          <w:iCs/>
          <w:strike/>
          <w:color w:val="FF0000"/>
          <w:kern w:val="32"/>
          <w:szCs w:val="40"/>
          <w:lang w:val="en-GB" w:eastAsia="zh-CN"/>
        </w:rPr>
      </w:pPr>
      <w:r>
        <w:rPr>
          <w:rFonts w:ascii="Times" w:eastAsia="DengXian" w:hAnsi="Times"/>
          <w:b/>
          <w:bCs/>
          <w:i/>
          <w:iCs/>
          <w:color w:val="FF0000"/>
          <w:kern w:val="32"/>
          <w:szCs w:val="40"/>
          <w:lang w:val="en-GB" w:eastAsia="zh-CN"/>
        </w:rPr>
        <w:t>Note: Default value for UE capability / RRC signalling can be discussed separately</w:t>
      </w:r>
    </w:p>
    <w:p w14:paraId="0765DF3F" w14:textId="77777777" w:rsidR="00F3032E" w:rsidRDefault="00F3032E" w:rsidP="00F3032E">
      <w:pPr>
        <w:rPr>
          <w:rFonts w:ascii="Times New Roman" w:hAnsi="Times New Roman" w:cs="Times New Roman"/>
          <w:lang w:eastAsia="zh-CN"/>
        </w:rPr>
      </w:pPr>
    </w:p>
    <w:p w14:paraId="6A32317A" w14:textId="77777777" w:rsidR="00F3032E" w:rsidRDefault="00F3032E" w:rsidP="00F3032E">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lastRenderedPageBreak/>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lastRenderedPageBreak/>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 xml:space="preserve">’t need to maintain two behaviors on </w:t>
            </w:r>
            <w:r>
              <w:rPr>
                <w:sz w:val="20"/>
                <w:szCs w:val="20"/>
                <w:lang w:eastAsia="zh-CN"/>
              </w:rPr>
              <w:lastRenderedPageBreak/>
              <w:t>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lastRenderedPageBreak/>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two QCL-</w:t>
            </w:r>
            <w:proofErr w:type="spellStart"/>
            <w:r>
              <w:rPr>
                <w:rFonts w:ascii="Times" w:eastAsia="DengXian" w:hAnsi="Times"/>
                <w:bCs/>
                <w:iCs/>
                <w:kern w:val="32"/>
                <w:sz w:val="20"/>
                <w:szCs w:val="20"/>
                <w:lang w:val="en-GB" w:eastAsia="zh-CN"/>
              </w:rPr>
              <w:t>TypeD</w:t>
            </w:r>
            <w:proofErr w:type="spellEnd"/>
            <w:r>
              <w:rPr>
                <w:rFonts w:ascii="Times" w:eastAsia="DengXian" w:hAnsi="Times"/>
                <w:bCs/>
                <w:iCs/>
                <w:kern w:val="32"/>
                <w:sz w:val="20"/>
                <w:szCs w:val="20"/>
                <w:lang w:val="en-GB" w:eastAsia="zh-CN"/>
              </w:rPr>
              <w:t xml:space="preserve"> properties for multiple overlapping CORESETs) is used, i.e., </w:t>
            </w:r>
            <w:r>
              <w:rPr>
                <w:rFonts w:ascii="Times" w:eastAsia="DengXian" w:hAnsi="Times"/>
                <w:b/>
                <w:bCs/>
                <w:iCs/>
                <w:kern w:val="32"/>
                <w:sz w:val="20"/>
                <w:szCs w:val="20"/>
                <w:lang w:val="en-GB" w:eastAsia="zh-CN"/>
              </w:rPr>
              <w:t>when the number of monitored QCL-</w:t>
            </w:r>
            <w:proofErr w:type="spellStart"/>
            <w:r>
              <w:rPr>
                <w:rFonts w:ascii="Times" w:eastAsia="DengXian" w:hAnsi="Times"/>
                <w:b/>
                <w:bCs/>
                <w:iCs/>
                <w:kern w:val="32"/>
                <w:sz w:val="20"/>
                <w:szCs w:val="20"/>
                <w:lang w:val="en-GB" w:eastAsia="zh-CN"/>
              </w:rPr>
              <w:t>TypeD</w:t>
            </w:r>
            <w:proofErr w:type="spellEnd"/>
            <w:r>
              <w:rPr>
                <w:rFonts w:ascii="Times" w:eastAsia="DengXian" w:hAnsi="Times"/>
                <w:b/>
                <w:bCs/>
                <w:iCs/>
                <w:kern w:val="32"/>
                <w:sz w:val="20"/>
                <w:szCs w:val="20"/>
                <w:lang w:val="en-GB" w:eastAsia="zh-CN"/>
              </w:rPr>
              <w:t xml:space="preserve">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lastRenderedPageBreak/>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r w:rsidR="00FC6985" w14:paraId="5657078F" w14:textId="77777777" w:rsidTr="00291C2A">
        <w:tc>
          <w:tcPr>
            <w:tcW w:w="1795" w:type="dxa"/>
          </w:tcPr>
          <w:p w14:paraId="1835D6E3" w14:textId="4964A3D9"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4817AF5" w14:textId="428E7B06" w:rsidR="00FC6985" w:rsidRDefault="00FC6985" w:rsidP="00A453ED">
            <w:pPr>
              <w:rPr>
                <w:sz w:val="20"/>
                <w:szCs w:val="20"/>
                <w:lang w:eastAsia="zh-CN"/>
              </w:rPr>
            </w:pPr>
            <w:r>
              <w:rPr>
                <w:rFonts w:hint="eastAsia"/>
                <w:sz w:val="20"/>
                <w:szCs w:val="20"/>
                <w:lang w:eastAsia="zh-CN"/>
              </w:rPr>
              <w:t>S</w:t>
            </w:r>
            <w:r>
              <w:rPr>
                <w:sz w:val="20"/>
                <w:szCs w:val="20"/>
                <w:lang w:eastAsia="zh-CN"/>
              </w:rPr>
              <w:t>upport.</w:t>
            </w:r>
          </w:p>
        </w:tc>
      </w:tr>
      <w:tr w:rsidR="00974CD3" w14:paraId="0BCA2E3A" w14:textId="77777777" w:rsidTr="00291C2A">
        <w:tc>
          <w:tcPr>
            <w:tcW w:w="1795" w:type="dxa"/>
          </w:tcPr>
          <w:p w14:paraId="190AE5B9" w14:textId="5A662B9D" w:rsidR="00974CD3" w:rsidRDefault="00974CD3" w:rsidP="00AD7518">
            <w:pPr>
              <w:autoSpaceDE w:val="0"/>
              <w:autoSpaceDN w:val="0"/>
              <w:adjustRightInd w:val="0"/>
              <w:snapToGrid w:val="0"/>
              <w:rPr>
                <w:sz w:val="20"/>
                <w:szCs w:val="20"/>
                <w:lang w:eastAsia="zh-CN"/>
              </w:rPr>
            </w:pPr>
            <w:r>
              <w:rPr>
                <w:sz w:val="20"/>
                <w:szCs w:val="20"/>
                <w:lang w:eastAsia="zh-CN"/>
              </w:rPr>
              <w:t>CATT</w:t>
            </w:r>
          </w:p>
        </w:tc>
        <w:tc>
          <w:tcPr>
            <w:tcW w:w="7070" w:type="dxa"/>
          </w:tcPr>
          <w:p w14:paraId="521BB3B6" w14:textId="1CA41F0C" w:rsidR="00974CD3" w:rsidRDefault="00974CD3" w:rsidP="00A453ED">
            <w:pPr>
              <w:rPr>
                <w:sz w:val="20"/>
                <w:szCs w:val="20"/>
                <w:lang w:eastAsia="zh-CN"/>
              </w:rPr>
            </w:pPr>
            <w:r>
              <w:rPr>
                <w:sz w:val="20"/>
                <w:szCs w:val="20"/>
                <w:lang w:eastAsia="zh-CN"/>
              </w:rPr>
              <w:t>Support</w:t>
            </w:r>
            <w:r>
              <w:rPr>
                <w:rFonts w:hint="eastAsia"/>
                <w:sz w:val="20"/>
                <w:szCs w:val="20"/>
                <w:lang w:eastAsia="zh-CN"/>
              </w:rPr>
              <w:t>.</w:t>
            </w:r>
          </w:p>
        </w:tc>
      </w:tr>
      <w:tr w:rsidR="003771A0" w14:paraId="30F14155" w14:textId="77777777" w:rsidTr="003771A0">
        <w:tc>
          <w:tcPr>
            <w:tcW w:w="1795" w:type="dxa"/>
          </w:tcPr>
          <w:p w14:paraId="5A40D614" w14:textId="77777777" w:rsidR="003771A0" w:rsidRDefault="003771A0" w:rsidP="00AF679D">
            <w:pPr>
              <w:autoSpaceDE w:val="0"/>
              <w:autoSpaceDN w:val="0"/>
              <w:adjustRightInd w:val="0"/>
              <w:snapToGrid w:val="0"/>
              <w:rPr>
                <w:sz w:val="20"/>
                <w:szCs w:val="20"/>
                <w:lang w:eastAsia="zh-CN"/>
              </w:rPr>
            </w:pPr>
            <w:r>
              <w:rPr>
                <w:sz w:val="20"/>
                <w:szCs w:val="20"/>
                <w:lang w:eastAsia="zh-CN"/>
              </w:rPr>
              <w:t>Futurewei</w:t>
            </w:r>
          </w:p>
        </w:tc>
        <w:tc>
          <w:tcPr>
            <w:tcW w:w="7070" w:type="dxa"/>
          </w:tcPr>
          <w:p w14:paraId="0461A485" w14:textId="32642A81" w:rsidR="003771A0" w:rsidRDefault="003771A0" w:rsidP="00AF679D">
            <w:pPr>
              <w:rPr>
                <w:rFonts w:eastAsia="PMingLiU"/>
                <w:sz w:val="20"/>
                <w:szCs w:val="20"/>
                <w:lang w:eastAsia="zh-TW"/>
              </w:rPr>
            </w:pPr>
            <w:r>
              <w:rPr>
                <w:rFonts w:eastAsia="PMingLiU"/>
                <w:sz w:val="20"/>
                <w:szCs w:val="20"/>
                <w:lang w:eastAsia="zh-TW"/>
              </w:rPr>
              <w:t>Support the proposal.</w:t>
            </w:r>
          </w:p>
        </w:tc>
      </w:tr>
    </w:tbl>
    <w:p w14:paraId="08EFEB8C" w14:textId="73736253" w:rsidR="006B608F" w:rsidRDefault="006B608F">
      <w:pPr>
        <w:rPr>
          <w:rFonts w:ascii="Times New Roman" w:hAnsi="Times New Roman" w:cs="Times New Roman"/>
          <w:lang w:eastAsia="zh-CN"/>
        </w:rPr>
      </w:pPr>
    </w:p>
    <w:p w14:paraId="2C90063C" w14:textId="0A1F1AE8" w:rsidR="006C2EB7" w:rsidRPr="006C2EB7" w:rsidRDefault="006C2EB7" w:rsidP="006C2EB7">
      <w:pPr>
        <w:pStyle w:val="Heading2"/>
        <w:spacing w:after="120"/>
        <w:rPr>
          <w:rFonts w:ascii="Calibri" w:eastAsia="Batang" w:hAnsi="Calibri" w:cs="Calibri"/>
          <w:b/>
          <w:bCs/>
          <w:sz w:val="28"/>
        </w:rPr>
      </w:pPr>
      <w:r>
        <w:rPr>
          <w:rFonts w:ascii="Calibri" w:eastAsia="Batang" w:hAnsi="Calibri" w:cs="Calibri"/>
          <w:b/>
          <w:bCs/>
          <w:sz w:val="28"/>
        </w:rPr>
        <w:t>Second Update</w:t>
      </w:r>
    </w:p>
    <w:p w14:paraId="60C7E3F0" w14:textId="1743A306" w:rsidR="00AB4E1F" w:rsidRDefault="00AB4E1F" w:rsidP="00AB4E1F">
      <w:pPr>
        <w:rPr>
          <w:rFonts w:ascii="Times New Roman" w:hAnsi="Times New Roman" w:cs="Times New Roman"/>
          <w:lang w:eastAsia="zh-CN"/>
        </w:rPr>
      </w:pPr>
      <w:r>
        <w:rPr>
          <w:rFonts w:ascii="Times New Roman" w:hAnsi="Times New Roman" w:cs="Times New Roman"/>
          <w:lang w:eastAsia="zh-CN"/>
        </w:rPr>
        <w:t xml:space="preserve">The proposal is supported by all companies, </w:t>
      </w:r>
      <w:r w:rsidR="006C2EB7">
        <w:rPr>
          <w:rFonts w:ascii="Times New Roman" w:hAnsi="Times New Roman" w:cs="Times New Roman"/>
          <w:lang w:eastAsia="zh-CN"/>
        </w:rPr>
        <w:t>while</w:t>
      </w:r>
      <w:r>
        <w:rPr>
          <w:rFonts w:ascii="Times New Roman" w:hAnsi="Times New Roman" w:cs="Times New Roman"/>
          <w:lang w:eastAsia="zh-CN"/>
        </w:rPr>
        <w:t xml:space="preserve"> ZTE and vivo would like to not preclude other alternatives or possibility of having multiple alternatives.</w:t>
      </w:r>
      <w:r w:rsidR="00DF1765">
        <w:rPr>
          <w:rFonts w:ascii="Times New Roman" w:hAnsi="Times New Roman" w:cs="Times New Roman"/>
          <w:lang w:eastAsia="zh-CN"/>
        </w:rPr>
        <w:t xml:space="preserve"> Select is change to down-select in the proposal.</w:t>
      </w:r>
    </w:p>
    <w:p w14:paraId="6F805DE7" w14:textId="630FE30F" w:rsidR="00AB4E1F" w:rsidRDefault="00AB4E1F" w:rsidP="00AB4E1F">
      <w:pPr>
        <w:rPr>
          <w:rFonts w:ascii="Times New Roman" w:hAnsi="Times New Roman" w:cs="Times New Roman"/>
          <w:lang w:eastAsia="zh-CN"/>
        </w:rPr>
      </w:pPr>
      <w:r>
        <w:rPr>
          <w:rFonts w:ascii="Times New Roman" w:hAnsi="Times New Roman" w:cs="Times New Roman"/>
          <w:lang w:eastAsia="zh-CN"/>
        </w:rPr>
        <w:t>@ZTE: For the issues in Alt2 and 3 you mentioned, they can be discussed further (which are already FFS below). One way is to no determine a second QCL-</w:t>
      </w:r>
      <w:proofErr w:type="spellStart"/>
      <w:r>
        <w:rPr>
          <w:rFonts w:ascii="Times New Roman" w:hAnsi="Times New Roman" w:cs="Times New Roman"/>
          <w:lang w:eastAsia="zh-CN"/>
        </w:rPr>
        <w:t>TypeD</w:t>
      </w:r>
      <w:proofErr w:type="spellEnd"/>
      <w:r>
        <w:rPr>
          <w:rFonts w:ascii="Times New Roman" w:hAnsi="Times New Roman" w:cs="Times New Roman"/>
          <w:lang w:eastAsia="zh-CN"/>
        </w:rPr>
        <w:t xml:space="preserve"> in those scenarios.</w:t>
      </w:r>
    </w:p>
    <w:p w14:paraId="73869D06" w14:textId="1D0A6C45" w:rsidR="00AB4E1F" w:rsidRDefault="00AB4E1F" w:rsidP="00AB4E1F">
      <w:pPr>
        <w:rPr>
          <w:rFonts w:ascii="Times New Roman" w:hAnsi="Times New Roman" w:cs="Times New Roman"/>
          <w:lang w:eastAsia="zh-CN"/>
        </w:rPr>
      </w:pPr>
      <w:r>
        <w:rPr>
          <w:rFonts w:ascii="Times New Roman" w:hAnsi="Times New Roman" w:cs="Times New Roman"/>
          <w:lang w:eastAsia="zh-CN"/>
        </w:rPr>
        <w:t>Given no concern</w:t>
      </w:r>
      <w:r w:rsidR="007252C3">
        <w:rPr>
          <w:rFonts w:ascii="Times New Roman" w:hAnsi="Times New Roman" w:cs="Times New Roman"/>
          <w:lang w:eastAsia="zh-CN"/>
        </w:rPr>
        <w:t>, the following will be reported as an offline agreement.</w:t>
      </w:r>
    </w:p>
    <w:p w14:paraId="2A9F6074" w14:textId="74E95276" w:rsidR="00AB4E1F" w:rsidRPr="00B7713C" w:rsidRDefault="00AB4E1F" w:rsidP="00AB4E1F">
      <w:pPr>
        <w:rPr>
          <w:rFonts w:ascii="Times New Roman" w:hAnsi="Times New Roman" w:cs="Times New Roman"/>
          <w:b/>
          <w:i/>
          <w:iCs/>
          <w:sz w:val="24"/>
          <w:szCs w:val="24"/>
          <w:lang w:val="en-GB" w:eastAsia="ko-KR"/>
        </w:rPr>
      </w:pPr>
      <w:r w:rsidRPr="00B7713C">
        <w:rPr>
          <w:rFonts w:ascii="Times New Roman" w:eastAsia="DengXian" w:hAnsi="Times New Roman" w:cs="Times New Roman"/>
          <w:b/>
          <w:bCs/>
          <w:i/>
          <w:iCs/>
          <w:kern w:val="32"/>
          <w:sz w:val="24"/>
          <w:szCs w:val="24"/>
          <w:lang w:val="en-GB" w:eastAsia="zh-CN"/>
        </w:rPr>
        <w:t>FL Proposal 6</w:t>
      </w:r>
      <w:r w:rsidR="007252C3">
        <w:rPr>
          <w:rFonts w:ascii="Times New Roman" w:eastAsia="DengXian" w:hAnsi="Times New Roman" w:cs="Times New Roman"/>
          <w:b/>
          <w:bCs/>
          <w:i/>
          <w:iCs/>
          <w:kern w:val="32"/>
          <w:sz w:val="24"/>
          <w:szCs w:val="24"/>
          <w:lang w:val="en-GB" w:eastAsia="zh-CN"/>
        </w:rPr>
        <w:t xml:space="preserve"> (</w:t>
      </w:r>
      <w:r w:rsidR="007252C3" w:rsidRPr="007252C3">
        <w:rPr>
          <w:rFonts w:ascii="Times New Roman" w:eastAsia="DengXian" w:hAnsi="Times New Roman" w:cs="Times New Roman"/>
          <w:b/>
          <w:bCs/>
          <w:i/>
          <w:iCs/>
          <w:kern w:val="32"/>
          <w:sz w:val="24"/>
          <w:szCs w:val="24"/>
          <w:highlight w:val="cyan"/>
          <w:lang w:val="en-GB" w:eastAsia="zh-CN"/>
        </w:rPr>
        <w:t>offline agreement</w:t>
      </w:r>
      <w:r w:rsidR="007252C3">
        <w:rPr>
          <w:rFonts w:ascii="Times New Roman" w:eastAsia="DengXian" w:hAnsi="Times New Roman" w:cs="Times New Roman"/>
          <w:b/>
          <w:bCs/>
          <w:i/>
          <w:iCs/>
          <w:kern w:val="32"/>
          <w:sz w:val="24"/>
          <w:szCs w:val="24"/>
          <w:lang w:val="en-GB" w:eastAsia="zh-CN"/>
        </w:rPr>
        <w:t>)</w:t>
      </w:r>
      <w:r w:rsidRPr="00B7713C">
        <w:rPr>
          <w:rFonts w:ascii="Times New Roman" w:eastAsia="DengXian" w:hAnsi="Times New Roman" w:cs="Times New Roman"/>
          <w:b/>
          <w:bCs/>
          <w:i/>
          <w:iCs/>
          <w:kern w:val="32"/>
          <w:sz w:val="24"/>
          <w:szCs w:val="24"/>
          <w:lang w:val="en-GB" w:eastAsia="zh-CN"/>
        </w:rPr>
        <w:t xml:space="preserve">: </w:t>
      </w:r>
      <w:r w:rsidRPr="00B7713C">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sidRPr="00B7713C">
        <w:rPr>
          <w:rFonts w:ascii="Times New Roman" w:hAnsi="Times New Roman" w:cs="Times New Roman"/>
          <w:b/>
          <w:i/>
          <w:iCs/>
          <w:sz w:val="24"/>
          <w:szCs w:val="24"/>
          <w:lang w:val="en-GB" w:eastAsia="ko-KR"/>
        </w:rPr>
        <w:t>TypeD</w:t>
      </w:r>
      <w:proofErr w:type="spellEnd"/>
      <w:r w:rsidRPr="00B7713C">
        <w:rPr>
          <w:rFonts w:ascii="Times New Roman" w:hAnsi="Times New Roman" w:cs="Times New Roman"/>
          <w:b/>
          <w:i/>
          <w:iCs/>
          <w:sz w:val="24"/>
          <w:szCs w:val="24"/>
          <w:lang w:val="en-GB" w:eastAsia="ko-KR"/>
        </w:rPr>
        <w:t xml:space="preserve"> properties for multiple overlapping CORESETs, </w:t>
      </w:r>
      <w:r w:rsidRPr="00670FD4">
        <w:rPr>
          <w:rFonts w:ascii="Times New Roman" w:hAnsi="Times New Roman" w:cs="Times New Roman"/>
          <w:b/>
          <w:i/>
          <w:iCs/>
          <w:color w:val="FF0000"/>
          <w:sz w:val="24"/>
          <w:szCs w:val="24"/>
          <w:lang w:val="en-GB" w:eastAsia="ko-KR"/>
        </w:rPr>
        <w:t>down-</w:t>
      </w:r>
      <w:r w:rsidRPr="00B7713C">
        <w:rPr>
          <w:rFonts w:ascii="Times New Roman" w:hAnsi="Times New Roman" w:cs="Times New Roman"/>
          <w:b/>
          <w:i/>
          <w:iCs/>
          <w:sz w:val="24"/>
          <w:szCs w:val="24"/>
          <w:lang w:val="en-GB" w:eastAsia="ko-KR"/>
        </w:rPr>
        <w:t xml:space="preserve">select </w:t>
      </w:r>
      <w:r w:rsidRPr="00670FD4">
        <w:rPr>
          <w:rFonts w:ascii="Times New Roman" w:hAnsi="Times New Roman" w:cs="Times New Roman"/>
          <w:b/>
          <w:i/>
          <w:iCs/>
          <w:strike/>
          <w:color w:val="FF0000"/>
          <w:sz w:val="24"/>
          <w:szCs w:val="24"/>
          <w:lang w:val="en-GB" w:eastAsia="ko-KR"/>
        </w:rPr>
        <w:t>one</w:t>
      </w:r>
      <w:r w:rsidRPr="00B7713C">
        <w:rPr>
          <w:rFonts w:ascii="Times New Roman" w:hAnsi="Times New Roman" w:cs="Times New Roman"/>
          <w:b/>
          <w:i/>
          <w:iCs/>
          <w:sz w:val="24"/>
          <w:szCs w:val="24"/>
          <w:lang w:val="en-GB" w:eastAsia="ko-KR"/>
        </w:rPr>
        <w:t xml:space="preserve"> </w:t>
      </w:r>
      <w:r w:rsidRPr="00670FD4">
        <w:rPr>
          <w:rFonts w:ascii="Times New Roman" w:hAnsi="Times New Roman" w:cs="Times New Roman"/>
          <w:b/>
          <w:i/>
          <w:iCs/>
          <w:color w:val="FF0000"/>
          <w:sz w:val="24"/>
          <w:szCs w:val="24"/>
          <w:lang w:val="en-GB" w:eastAsia="ko-KR"/>
        </w:rPr>
        <w:t>from the following</w:t>
      </w:r>
      <w:r>
        <w:rPr>
          <w:rFonts w:ascii="Times New Roman" w:hAnsi="Times New Roman" w:cs="Times New Roman"/>
          <w:b/>
          <w:i/>
          <w:iCs/>
          <w:sz w:val="24"/>
          <w:szCs w:val="24"/>
          <w:lang w:val="en-GB" w:eastAsia="ko-KR"/>
        </w:rPr>
        <w:t xml:space="preserve"> </w:t>
      </w:r>
      <w:r w:rsidRPr="00B7713C">
        <w:rPr>
          <w:rFonts w:ascii="Times New Roman" w:hAnsi="Times New Roman" w:cs="Times New Roman"/>
          <w:b/>
          <w:i/>
          <w:iCs/>
          <w:sz w:val="24"/>
          <w:szCs w:val="24"/>
          <w:lang w:val="en-GB" w:eastAsia="ko-KR"/>
        </w:rPr>
        <w:t>Alt</w:t>
      </w:r>
      <w:r w:rsidRPr="00670FD4">
        <w:rPr>
          <w:rFonts w:ascii="Times New Roman" w:hAnsi="Times New Roman" w:cs="Times New Roman"/>
          <w:b/>
          <w:i/>
          <w:iCs/>
          <w:color w:val="FF0000"/>
          <w:sz w:val="24"/>
          <w:szCs w:val="24"/>
          <w:lang w:val="en-GB" w:eastAsia="ko-KR"/>
        </w:rPr>
        <w:t>s</w:t>
      </w:r>
      <w:r w:rsidRPr="00B7713C">
        <w:rPr>
          <w:rFonts w:ascii="Times New Roman" w:hAnsi="Times New Roman" w:cs="Times New Roman"/>
          <w:b/>
          <w:i/>
          <w:iCs/>
          <w:sz w:val="24"/>
          <w:szCs w:val="24"/>
          <w:lang w:val="en-GB" w:eastAsia="ko-KR"/>
        </w:rPr>
        <w:t xml:space="preserve"> in RAN1 #106-bis-e:</w:t>
      </w:r>
    </w:p>
    <w:p w14:paraId="3F440D98" w14:textId="77777777" w:rsidR="00AB4E1F" w:rsidRPr="00B7713C" w:rsidRDefault="00AB4E1F" w:rsidP="00AB4E1F">
      <w:pPr>
        <w:pStyle w:val="ListParagraph"/>
        <w:numPr>
          <w:ilvl w:val="0"/>
          <w:numId w:val="24"/>
        </w:numPr>
        <w:ind w:firstLineChars="0"/>
        <w:rPr>
          <w:b/>
          <w:i/>
          <w:iCs/>
          <w:lang w:val="en-GB" w:eastAsia="ko-KR"/>
        </w:rPr>
      </w:pPr>
      <w:r w:rsidRPr="00B7713C">
        <w:rPr>
          <w:b/>
          <w:i/>
          <w:iCs/>
          <w:lang w:val="en-GB" w:eastAsia="ko-KR"/>
        </w:rPr>
        <w:t>Alt1: Identify the two QCL-Type D properties based on legacy priority order.</w:t>
      </w:r>
    </w:p>
    <w:p w14:paraId="30CA56B0" w14:textId="77777777" w:rsidR="00AB4E1F" w:rsidRPr="00B7713C" w:rsidRDefault="00AB4E1F" w:rsidP="00AB4E1F">
      <w:pPr>
        <w:pStyle w:val="ListParagraph"/>
        <w:numPr>
          <w:ilvl w:val="0"/>
          <w:numId w:val="24"/>
        </w:numPr>
        <w:ind w:firstLineChars="0"/>
        <w:rPr>
          <w:b/>
          <w:i/>
          <w:iCs/>
          <w:lang w:val="en-GB" w:eastAsia="ko-KR"/>
        </w:rPr>
      </w:pPr>
      <w:r w:rsidRPr="00B7713C">
        <w:rPr>
          <w:b/>
          <w:i/>
          <w:iCs/>
          <w:lang w:val="en-GB" w:eastAsia="ko-KR"/>
        </w:rPr>
        <w:t>Alt2: Reuse legacy priority rule to identify the first QCL-</w:t>
      </w:r>
      <w:proofErr w:type="spellStart"/>
      <w:r w:rsidRPr="00B7713C">
        <w:rPr>
          <w:b/>
          <w:i/>
          <w:iCs/>
          <w:lang w:val="en-GB" w:eastAsia="ko-KR"/>
        </w:rPr>
        <w:t>TypeD</w:t>
      </w:r>
      <w:proofErr w:type="spellEnd"/>
      <w:r w:rsidRPr="00B7713C">
        <w:rPr>
          <w:b/>
          <w:i/>
          <w:iCs/>
          <w:lang w:val="en-GB" w:eastAsia="ko-KR"/>
        </w:rPr>
        <w:t xml:space="preserve"> property, and then, identify the second QCL-</w:t>
      </w:r>
      <w:proofErr w:type="spellStart"/>
      <w:r w:rsidRPr="00B7713C">
        <w:rPr>
          <w:b/>
          <w:i/>
          <w:iCs/>
          <w:lang w:val="en-GB" w:eastAsia="ko-KR"/>
        </w:rPr>
        <w:t>TypeD</w:t>
      </w:r>
      <w:proofErr w:type="spellEnd"/>
      <w:r w:rsidRPr="00B7713C">
        <w:rPr>
          <w:b/>
          <w:i/>
          <w:iCs/>
          <w:lang w:val="en-GB" w:eastAsia="ko-KR"/>
        </w:rPr>
        <w:t xml:space="preserve"> according to one of the SS sets that is linked with a SS set with the first QCL-</w:t>
      </w:r>
      <w:proofErr w:type="spellStart"/>
      <w:r w:rsidRPr="00B7713C">
        <w:rPr>
          <w:b/>
          <w:i/>
          <w:iCs/>
          <w:lang w:val="en-GB" w:eastAsia="ko-KR"/>
        </w:rPr>
        <w:t>TypeD</w:t>
      </w:r>
      <w:proofErr w:type="spellEnd"/>
      <w:r w:rsidRPr="00B7713C">
        <w:rPr>
          <w:b/>
          <w:i/>
          <w:iCs/>
          <w:lang w:val="en-GB" w:eastAsia="ko-KR"/>
        </w:rPr>
        <w:t xml:space="preserve"> (among the multiple overlapping CORESETs)</w:t>
      </w:r>
    </w:p>
    <w:p w14:paraId="5D6C68F0" w14:textId="77777777" w:rsidR="00AB4E1F" w:rsidRPr="00B7713C" w:rsidRDefault="00AB4E1F" w:rsidP="00AB4E1F">
      <w:pPr>
        <w:pStyle w:val="ListParagraph"/>
        <w:numPr>
          <w:ilvl w:val="1"/>
          <w:numId w:val="24"/>
        </w:numPr>
        <w:ind w:firstLineChars="0"/>
        <w:rPr>
          <w:b/>
          <w:i/>
          <w:iCs/>
          <w:lang w:val="en-GB" w:eastAsia="ko-KR"/>
        </w:rPr>
      </w:pPr>
      <w:r w:rsidRPr="00B7713C">
        <w:rPr>
          <w:b/>
          <w:i/>
          <w:iCs/>
          <w:lang w:val="en-GB" w:eastAsia="ko-KR"/>
        </w:rPr>
        <w:t>In the case of multiple such SS set pairs, Rel. 15 priority order is followed for the second QCL-</w:t>
      </w:r>
      <w:proofErr w:type="spellStart"/>
      <w:r w:rsidRPr="00B7713C">
        <w:rPr>
          <w:b/>
          <w:i/>
          <w:iCs/>
          <w:lang w:val="en-GB" w:eastAsia="ko-KR"/>
        </w:rPr>
        <w:t>TypeD</w:t>
      </w:r>
      <w:proofErr w:type="spellEnd"/>
      <w:r w:rsidRPr="00B7713C">
        <w:rPr>
          <w:b/>
          <w:i/>
          <w:iCs/>
          <w:lang w:val="en-GB" w:eastAsia="ko-KR"/>
        </w:rPr>
        <w:t xml:space="preserve"> determination</w:t>
      </w:r>
    </w:p>
    <w:p w14:paraId="2302B893" w14:textId="77777777" w:rsidR="00AB4E1F" w:rsidRPr="00B7713C" w:rsidRDefault="00AB4E1F" w:rsidP="00AB4E1F">
      <w:pPr>
        <w:pStyle w:val="ListParagraph"/>
        <w:numPr>
          <w:ilvl w:val="1"/>
          <w:numId w:val="24"/>
        </w:numPr>
        <w:ind w:firstLineChars="0"/>
        <w:rPr>
          <w:b/>
          <w:i/>
          <w:iCs/>
          <w:lang w:val="en-GB" w:eastAsia="ko-KR"/>
        </w:rPr>
      </w:pPr>
      <w:r w:rsidRPr="00B7713C">
        <w:rPr>
          <w:b/>
          <w:i/>
          <w:iCs/>
          <w:lang w:val="en-GB" w:eastAsia="ko-KR"/>
        </w:rPr>
        <w:t>FFS: The case of no such SS set pair</w:t>
      </w:r>
    </w:p>
    <w:p w14:paraId="3A6F9CC5" w14:textId="77777777" w:rsidR="00AB4E1F" w:rsidRPr="00B7713C" w:rsidRDefault="00AB4E1F" w:rsidP="00AB4E1F">
      <w:pPr>
        <w:pStyle w:val="ListParagraph"/>
        <w:numPr>
          <w:ilvl w:val="0"/>
          <w:numId w:val="24"/>
        </w:numPr>
        <w:ind w:firstLineChars="0"/>
        <w:rPr>
          <w:b/>
          <w:i/>
          <w:iCs/>
          <w:lang w:val="en-GB" w:eastAsia="ko-KR"/>
        </w:rPr>
      </w:pPr>
      <w:r w:rsidRPr="00B7713C">
        <w:rPr>
          <w:b/>
          <w:i/>
          <w:iCs/>
          <w:lang w:val="en-GB" w:eastAsia="ko-KR"/>
        </w:rPr>
        <w:t>Alt3: Assign same priority for two linked search space sets for PDCCH transmission with overlapping monitoring occasions (the priority is according to one of the two SS sets with a lower SS set ID)</w:t>
      </w:r>
    </w:p>
    <w:p w14:paraId="66DE0256" w14:textId="77777777" w:rsidR="00AB4E1F" w:rsidRPr="00B7713C" w:rsidRDefault="00AB4E1F" w:rsidP="00AB4E1F">
      <w:pPr>
        <w:pStyle w:val="ListParagraph"/>
        <w:numPr>
          <w:ilvl w:val="1"/>
          <w:numId w:val="24"/>
        </w:numPr>
        <w:ind w:firstLineChars="0"/>
        <w:rPr>
          <w:b/>
          <w:i/>
          <w:iCs/>
          <w:lang w:val="en-GB" w:eastAsia="ko-KR"/>
        </w:rPr>
      </w:pPr>
      <w:r w:rsidRPr="00B7713C">
        <w:rPr>
          <w:b/>
          <w:i/>
          <w:iCs/>
          <w:lang w:val="en-GB" w:eastAsia="ko-KR"/>
        </w:rPr>
        <w:t xml:space="preserve">Priority order: SS type (USS/CSS) </w:t>
      </w:r>
      <w:proofErr w:type="gramStart"/>
      <w:r w:rsidRPr="00B7713C">
        <w:rPr>
          <w:b/>
          <w:i/>
          <w:iCs/>
          <w:lang w:val="en-GB" w:eastAsia="ko-KR"/>
        </w:rPr>
        <w:t>&gt;  linkage</w:t>
      </w:r>
      <w:proofErr w:type="gramEnd"/>
      <w:r w:rsidRPr="00B7713C">
        <w:rPr>
          <w:b/>
          <w:i/>
          <w:iCs/>
          <w:lang w:val="en-GB" w:eastAsia="ko-KR"/>
        </w:rPr>
        <w:t xml:space="preserve"> of SS sets &gt; cell index &gt; associated SS set ID</w:t>
      </w:r>
    </w:p>
    <w:p w14:paraId="6E0C9619" w14:textId="77777777" w:rsidR="00AB4E1F" w:rsidRPr="00B7713C" w:rsidRDefault="00AB4E1F" w:rsidP="00AB4E1F">
      <w:pPr>
        <w:pStyle w:val="ListParagraph"/>
        <w:numPr>
          <w:ilvl w:val="2"/>
          <w:numId w:val="24"/>
        </w:numPr>
        <w:ind w:firstLineChars="0"/>
        <w:rPr>
          <w:b/>
          <w:i/>
          <w:iCs/>
          <w:lang w:val="en-GB" w:eastAsia="ko-KR"/>
        </w:rPr>
      </w:pPr>
      <w:r w:rsidRPr="00B7713C">
        <w:rPr>
          <w:b/>
          <w:i/>
          <w:iCs/>
          <w:lang w:val="en-GB" w:eastAsia="ko-KR"/>
        </w:rPr>
        <w:t>Linked SS set has higher priority than individual SS set</w:t>
      </w:r>
    </w:p>
    <w:p w14:paraId="73E73CC2" w14:textId="77777777" w:rsidR="00AB4E1F" w:rsidRPr="00B7713C" w:rsidRDefault="00AB4E1F" w:rsidP="00AB4E1F">
      <w:pPr>
        <w:pStyle w:val="ListParagraph"/>
        <w:numPr>
          <w:ilvl w:val="1"/>
          <w:numId w:val="24"/>
        </w:numPr>
        <w:ind w:firstLineChars="0"/>
        <w:rPr>
          <w:b/>
          <w:i/>
          <w:iCs/>
          <w:lang w:val="en-GB" w:eastAsia="ko-KR"/>
        </w:rPr>
      </w:pPr>
      <w:r w:rsidRPr="00B7713C">
        <w:rPr>
          <w:b/>
          <w:i/>
          <w:iCs/>
          <w:lang w:val="en-GB" w:eastAsia="ko-KR"/>
        </w:rPr>
        <w:t>FFS: The case that the first QCL-</w:t>
      </w:r>
      <w:proofErr w:type="spellStart"/>
      <w:r w:rsidRPr="00B7713C">
        <w:rPr>
          <w:b/>
          <w:i/>
          <w:iCs/>
          <w:lang w:val="en-GB" w:eastAsia="ko-KR"/>
        </w:rPr>
        <w:t>TypeD</w:t>
      </w:r>
      <w:proofErr w:type="spellEnd"/>
      <w:r w:rsidRPr="00B7713C">
        <w:rPr>
          <w:b/>
          <w:i/>
          <w:iCs/>
          <w:lang w:val="en-GB" w:eastAsia="ko-KR"/>
        </w:rPr>
        <w:t xml:space="preserve"> is from unlinked CSS</w:t>
      </w:r>
    </w:p>
    <w:p w14:paraId="0912CC1A" w14:textId="77777777" w:rsidR="00AB4E1F" w:rsidRPr="00B7713C" w:rsidRDefault="00AB4E1F" w:rsidP="00AB4E1F">
      <w:pPr>
        <w:pStyle w:val="ListParagraph"/>
        <w:numPr>
          <w:ilvl w:val="1"/>
          <w:numId w:val="24"/>
        </w:numPr>
        <w:ind w:firstLineChars="0"/>
        <w:rPr>
          <w:b/>
          <w:i/>
          <w:iCs/>
          <w:lang w:val="en-GB" w:eastAsia="ko-KR"/>
        </w:rPr>
      </w:pPr>
      <w:r w:rsidRPr="00B7713C">
        <w:rPr>
          <w:b/>
          <w:i/>
          <w:iCs/>
          <w:lang w:val="en-GB" w:eastAsia="ko-KR"/>
        </w:rPr>
        <w:t>FFS: The case of no linked SS sets among the multiple overlapping CORESETs</w:t>
      </w:r>
    </w:p>
    <w:p w14:paraId="7D0FC365" w14:textId="77777777" w:rsidR="00AB4E1F" w:rsidRPr="00291C2A" w:rsidRDefault="00AB4E1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lastRenderedPageBreak/>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same  </w:t>
            </w:r>
            <w:proofErr w:type="spellStart"/>
            <w:r>
              <w:rPr>
                <w:sz w:val="20"/>
                <w:szCs w:val="20"/>
                <w:lang w:eastAsia="zh-CN"/>
              </w:rPr>
              <w:t>CORESETPoolIndex</w:t>
            </w:r>
            <w:proofErr w:type="spell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lastRenderedPageBreak/>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 xml:space="preserve">Fraunhofer </w:t>
            </w:r>
            <w:r>
              <w:rPr>
                <w:sz w:val="20"/>
                <w:szCs w:val="20"/>
                <w:lang w:eastAsia="zh-CN"/>
              </w:rPr>
              <w:lastRenderedPageBreak/>
              <w:t>IIS/HHI</w:t>
            </w:r>
          </w:p>
        </w:tc>
        <w:tc>
          <w:tcPr>
            <w:tcW w:w="7070" w:type="dxa"/>
          </w:tcPr>
          <w:p w14:paraId="769C1AF6" w14:textId="7DDEA074" w:rsidR="007B40AD" w:rsidRDefault="007B40AD" w:rsidP="00084DD8">
            <w:pPr>
              <w:rPr>
                <w:sz w:val="20"/>
                <w:szCs w:val="20"/>
                <w:lang w:eastAsia="zh-CN"/>
              </w:rPr>
            </w:pPr>
            <w:r>
              <w:rPr>
                <w:sz w:val="20"/>
                <w:szCs w:val="20"/>
                <w:lang w:eastAsia="zh-CN"/>
              </w:rPr>
              <w:lastRenderedPageBreak/>
              <w:t>We would prefer to discuss the issue</w:t>
            </w:r>
            <w:r w:rsidR="00084DD8">
              <w:rPr>
                <w:sz w:val="20"/>
                <w:szCs w:val="20"/>
                <w:lang w:eastAsia="zh-CN"/>
              </w:rPr>
              <w:t xml:space="preserve"> further</w:t>
            </w:r>
            <w:r>
              <w:rPr>
                <w:sz w:val="20"/>
                <w:szCs w:val="20"/>
                <w:lang w:eastAsia="zh-CN"/>
              </w:rPr>
              <w:t xml:space="preserve">. We have a similar opinion as ZTE that </w:t>
            </w:r>
            <w:r>
              <w:rPr>
                <w:sz w:val="20"/>
                <w:szCs w:val="20"/>
                <w:lang w:eastAsia="zh-CN"/>
              </w:rPr>
              <w:lastRenderedPageBreak/>
              <w:t>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r w:rsidR="00FC6985" w14:paraId="7740B3EB" w14:textId="77777777" w:rsidTr="00F90F0E">
        <w:tc>
          <w:tcPr>
            <w:tcW w:w="1795" w:type="dxa"/>
          </w:tcPr>
          <w:p w14:paraId="0938B92D" w14:textId="620E88C0"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0249A4F" w14:textId="56F4DA4B" w:rsidR="00FC6985" w:rsidRDefault="00FC6985" w:rsidP="00AD7518">
            <w:pPr>
              <w:rPr>
                <w:sz w:val="20"/>
                <w:szCs w:val="20"/>
                <w:lang w:eastAsia="zh-CN"/>
              </w:rPr>
            </w:pPr>
            <w:r>
              <w:rPr>
                <w:rFonts w:hint="eastAsia"/>
                <w:sz w:val="20"/>
                <w:szCs w:val="20"/>
                <w:lang w:eastAsia="zh-CN"/>
              </w:rPr>
              <w:t>S</w:t>
            </w:r>
            <w:r>
              <w:rPr>
                <w:sz w:val="20"/>
                <w:szCs w:val="20"/>
                <w:lang w:eastAsia="zh-CN"/>
              </w:rPr>
              <w:t>upport.</w:t>
            </w:r>
          </w:p>
        </w:tc>
      </w:tr>
      <w:tr w:rsidR="001C4CC9" w14:paraId="1AD1D98C" w14:textId="77777777" w:rsidTr="00F90F0E">
        <w:tc>
          <w:tcPr>
            <w:tcW w:w="1795" w:type="dxa"/>
          </w:tcPr>
          <w:p w14:paraId="4CD182EB" w14:textId="53958925" w:rsidR="001C4CC9" w:rsidRDefault="001C4CC9" w:rsidP="00AD7518">
            <w:pPr>
              <w:autoSpaceDE w:val="0"/>
              <w:autoSpaceDN w:val="0"/>
              <w:adjustRightInd w:val="0"/>
              <w:snapToGrid w:val="0"/>
              <w:rPr>
                <w:sz w:val="20"/>
                <w:szCs w:val="20"/>
                <w:lang w:eastAsia="zh-CN"/>
              </w:rPr>
            </w:pPr>
            <w:r>
              <w:rPr>
                <w:sz w:val="20"/>
                <w:szCs w:val="20"/>
                <w:lang w:eastAsia="zh-CN"/>
              </w:rPr>
              <w:t>Futurewei</w:t>
            </w:r>
          </w:p>
        </w:tc>
        <w:tc>
          <w:tcPr>
            <w:tcW w:w="7070" w:type="dxa"/>
          </w:tcPr>
          <w:p w14:paraId="1C9853C1" w14:textId="493EF95C" w:rsidR="001C4CC9" w:rsidRDefault="001C4CC9" w:rsidP="00AD7518">
            <w:pPr>
              <w:rPr>
                <w:sz w:val="20"/>
                <w:szCs w:val="20"/>
                <w:lang w:eastAsia="zh-CN"/>
              </w:rPr>
            </w:pPr>
            <w:r>
              <w:rPr>
                <w:sz w:val="20"/>
                <w:szCs w:val="20"/>
                <w:lang w:eastAsia="zh-CN"/>
              </w:rPr>
              <w:t>Support, but open to Alt1 if time allows.</w:t>
            </w:r>
          </w:p>
        </w:tc>
      </w:tr>
    </w:tbl>
    <w:p w14:paraId="59C31EC0" w14:textId="6498E10C" w:rsidR="006B608F" w:rsidRDefault="006B608F">
      <w:pPr>
        <w:rPr>
          <w:rFonts w:ascii="Times New Roman" w:hAnsi="Times New Roman" w:cs="Times New Roman"/>
          <w:lang w:eastAsia="zh-CN"/>
        </w:rPr>
      </w:pPr>
    </w:p>
    <w:p w14:paraId="5A635152" w14:textId="77777777" w:rsidR="00571E38" w:rsidRDefault="00571E38" w:rsidP="00571E38">
      <w:pPr>
        <w:pStyle w:val="Heading2"/>
        <w:spacing w:after="120"/>
        <w:rPr>
          <w:rFonts w:ascii="Calibri" w:eastAsia="Batang" w:hAnsi="Calibri" w:cs="Calibri"/>
          <w:b/>
          <w:bCs/>
          <w:sz w:val="28"/>
        </w:rPr>
      </w:pPr>
      <w:r>
        <w:rPr>
          <w:rFonts w:ascii="Calibri" w:eastAsia="Batang" w:hAnsi="Calibri" w:cs="Calibri"/>
          <w:b/>
          <w:bCs/>
          <w:sz w:val="28"/>
        </w:rPr>
        <w:t>Second Update</w:t>
      </w:r>
    </w:p>
    <w:p w14:paraId="2F339A4C" w14:textId="77777777" w:rsidR="00571E38" w:rsidRDefault="00571E38" w:rsidP="00571E38">
      <w:pPr>
        <w:rPr>
          <w:rFonts w:ascii="Times New Roman" w:hAnsi="Times New Roman" w:cs="Times New Roman"/>
          <w:lang w:eastAsia="zh-CN"/>
        </w:rPr>
      </w:pPr>
      <w:r>
        <w:rPr>
          <w:rFonts w:ascii="Times New Roman" w:hAnsi="Times New Roman" w:cs="Times New Roman"/>
          <w:lang w:eastAsia="zh-CN"/>
        </w:rPr>
        <w:t xml:space="preserve">The proposal is not changed as it has clear majority support. The companies supporting Alt3 are ok with Alt2 now. </w:t>
      </w:r>
    </w:p>
    <w:p w14:paraId="69B3117A" w14:textId="34F61E0E" w:rsidR="00571E38" w:rsidRDefault="00571E38" w:rsidP="00571E38">
      <w:pPr>
        <w:rPr>
          <w:rFonts w:ascii="Times New Roman" w:hAnsi="Times New Roman" w:cs="Times New Roman"/>
          <w:lang w:eastAsia="zh-CN"/>
        </w:rPr>
      </w:pPr>
      <w:r w:rsidRPr="00485A79">
        <w:rPr>
          <w:rFonts w:ascii="Times New Roman" w:hAnsi="Times New Roman" w:cs="Times New Roman"/>
          <w:lang w:eastAsia="zh-CN"/>
        </w:rPr>
        <w:t>ZTE</w:t>
      </w:r>
      <w:r>
        <w:rPr>
          <w:rFonts w:ascii="Times New Roman" w:hAnsi="Times New Roman" w:cs="Times New Roman"/>
          <w:lang w:eastAsia="zh-CN"/>
        </w:rPr>
        <w:t xml:space="preserve">, LG, </w:t>
      </w:r>
      <w:r w:rsidRPr="00485A79">
        <w:rPr>
          <w:rFonts w:ascii="Times New Roman" w:hAnsi="Times New Roman" w:cs="Times New Roman"/>
          <w:lang w:eastAsia="zh-CN"/>
        </w:rPr>
        <w:t>Samsung</w:t>
      </w:r>
      <w:r>
        <w:rPr>
          <w:rFonts w:ascii="Times New Roman" w:hAnsi="Times New Roman" w:cs="Times New Roman"/>
          <w:lang w:eastAsia="zh-CN"/>
        </w:rPr>
        <w:t xml:space="preserve">, </w:t>
      </w:r>
      <w:r w:rsidRPr="000B3724">
        <w:rPr>
          <w:rFonts w:ascii="Times New Roman" w:hAnsi="Times New Roman" w:cs="Times New Roman"/>
          <w:lang w:eastAsia="zh-CN"/>
        </w:rPr>
        <w:t>Fraunhofer IIS/HHI</w:t>
      </w:r>
      <w:r>
        <w:rPr>
          <w:rFonts w:ascii="Times New Roman" w:hAnsi="Times New Roman" w:cs="Times New Roman"/>
          <w:lang w:eastAsia="zh-CN"/>
        </w:rPr>
        <w:t xml:space="preserve"> still prefer Alt1. This issue has been discussed multiple times</w:t>
      </w:r>
      <w:r w:rsidR="00FA298B">
        <w:rPr>
          <w:rFonts w:ascii="Times New Roman" w:hAnsi="Times New Roman" w:cs="Times New Roman"/>
          <w:lang w:eastAsia="zh-CN"/>
        </w:rPr>
        <w:t xml:space="preserve">, and </w:t>
      </w:r>
      <w:r w:rsidR="004B4B81">
        <w:rPr>
          <w:rFonts w:ascii="Times New Roman" w:hAnsi="Times New Roman" w:cs="Times New Roman"/>
          <w:lang w:eastAsia="zh-CN"/>
        </w:rPr>
        <w:t>the situation has not changed</w:t>
      </w:r>
      <w:r w:rsidR="00FD2F94">
        <w:rPr>
          <w:rFonts w:ascii="Times New Roman" w:hAnsi="Times New Roman" w:cs="Times New Roman"/>
          <w:lang w:eastAsia="zh-CN"/>
        </w:rPr>
        <w:t>. Other companies support or can accept Alt2 (FL Proposal 8).</w:t>
      </w:r>
    </w:p>
    <w:p w14:paraId="15B2542F" w14:textId="77777777" w:rsidR="00571E38" w:rsidRPr="005772F8" w:rsidRDefault="00571E38" w:rsidP="00571E38">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p w14:paraId="57FE85E4" w14:textId="77777777" w:rsidR="00571E38" w:rsidRPr="00F90F0E" w:rsidRDefault="00571E38">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This issue has been discussed multiple times without a clear conclusion or agreement. In this meeting, multiple companies (ZTE, NEC, Xiaomi, Intel) proposed to support inter-slot PDCCH repetition in </w:t>
      </w:r>
      <w:r>
        <w:rPr>
          <w:rFonts w:ascii="Times New Roman" w:hAnsi="Times New Roman" w:cs="Times New Roman"/>
          <w:lang w:eastAsia="zh-CN"/>
        </w:rPr>
        <w:lastRenderedPageBreak/>
        <w:t>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lastRenderedPageBreak/>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r w:rsidR="00FC6985" w14:paraId="6E3139ED" w14:textId="77777777" w:rsidTr="00C33DB7">
        <w:trPr>
          <w:trHeight w:val="273"/>
        </w:trPr>
        <w:tc>
          <w:tcPr>
            <w:tcW w:w="1795" w:type="dxa"/>
          </w:tcPr>
          <w:p w14:paraId="7BEE4A32" w14:textId="69C5DF41"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7FA16874" w14:textId="714DB00D" w:rsidR="00FC6985" w:rsidRDefault="00FC6985" w:rsidP="00AD7518">
            <w:pPr>
              <w:rPr>
                <w:sz w:val="20"/>
                <w:szCs w:val="20"/>
                <w:lang w:eastAsia="zh-CN"/>
              </w:rPr>
            </w:pPr>
            <w:r>
              <w:rPr>
                <w:rFonts w:hint="eastAsia"/>
                <w:sz w:val="20"/>
                <w:szCs w:val="20"/>
                <w:lang w:eastAsia="zh-CN"/>
              </w:rPr>
              <w:t>S</w:t>
            </w:r>
            <w:r>
              <w:rPr>
                <w:sz w:val="20"/>
                <w:szCs w:val="20"/>
                <w:lang w:eastAsia="zh-CN"/>
              </w:rPr>
              <w:t>upport Alt 1.</w:t>
            </w:r>
          </w:p>
        </w:tc>
      </w:tr>
      <w:tr w:rsidR="00974CD3" w14:paraId="15EB8AD3" w14:textId="77777777" w:rsidTr="00C33DB7">
        <w:trPr>
          <w:trHeight w:val="273"/>
        </w:trPr>
        <w:tc>
          <w:tcPr>
            <w:tcW w:w="1795" w:type="dxa"/>
          </w:tcPr>
          <w:p w14:paraId="18D34ACB" w14:textId="535DAE6A" w:rsidR="00974CD3" w:rsidRDefault="00974CD3" w:rsidP="00AD7518">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E91C31" w14:textId="4BF90A66" w:rsidR="00974CD3" w:rsidRDefault="00974CD3" w:rsidP="00AD7518">
            <w:pPr>
              <w:rPr>
                <w:sz w:val="20"/>
                <w:szCs w:val="20"/>
                <w:lang w:eastAsia="zh-CN"/>
              </w:rPr>
            </w:pPr>
            <w:r>
              <w:rPr>
                <w:rFonts w:hint="eastAsia"/>
                <w:sz w:val="20"/>
                <w:szCs w:val="20"/>
                <w:lang w:eastAsia="zh-CN"/>
              </w:rPr>
              <w:t>Support Alt.1</w:t>
            </w:r>
          </w:p>
        </w:tc>
      </w:tr>
    </w:tbl>
    <w:p w14:paraId="3D50F5D4" w14:textId="612092F2" w:rsidR="006B608F" w:rsidRDefault="006B608F">
      <w:pPr>
        <w:rPr>
          <w:rFonts w:ascii="Times New Roman" w:hAnsi="Times New Roman" w:cs="Times New Roman"/>
          <w:lang w:eastAsia="zh-CN"/>
        </w:rPr>
      </w:pPr>
    </w:p>
    <w:p w14:paraId="39B239D0" w14:textId="42E8A933" w:rsidR="00204259" w:rsidRPr="00204259" w:rsidRDefault="00204259" w:rsidP="00204259">
      <w:pPr>
        <w:pStyle w:val="Heading2"/>
        <w:spacing w:after="120"/>
        <w:rPr>
          <w:rFonts w:ascii="Calibri" w:eastAsia="Batang" w:hAnsi="Calibri" w:cs="Calibri"/>
          <w:b/>
          <w:bCs/>
          <w:sz w:val="28"/>
        </w:rPr>
      </w:pPr>
      <w:r>
        <w:rPr>
          <w:rFonts w:ascii="Calibri" w:eastAsia="Batang" w:hAnsi="Calibri" w:cs="Calibri"/>
          <w:b/>
          <w:bCs/>
          <w:sz w:val="28"/>
        </w:rPr>
        <w:t>Second Update</w:t>
      </w:r>
    </w:p>
    <w:p w14:paraId="302FBCBE" w14:textId="77777777" w:rsidR="006821F5" w:rsidRDefault="006821F5" w:rsidP="006821F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326885D6" w14:textId="2EE00F6B" w:rsidR="006821F5" w:rsidRPr="008430A9" w:rsidRDefault="006821F5" w:rsidP="006821F5">
      <w:pPr>
        <w:ind w:left="720"/>
        <w:rPr>
          <w:rFonts w:ascii="Times New Roman" w:eastAsia="DengXian" w:hAnsi="Times New Roman" w:cs="Times New Roman"/>
          <w:kern w:val="32"/>
          <w:szCs w:val="36"/>
          <w:lang w:val="en-GB" w:eastAsia="zh-CN"/>
        </w:rPr>
      </w:pPr>
      <w:r>
        <w:rPr>
          <w:rFonts w:ascii="Times New Roman" w:eastAsia="DengXian" w:hAnsi="Times New Roman" w:cs="Times New Roman"/>
          <w:kern w:val="32"/>
          <w:szCs w:val="36"/>
          <w:lang w:val="en-GB" w:eastAsia="zh-CN"/>
        </w:rPr>
        <w:t xml:space="preserve">ZTE, NEC, Xiaomi, </w:t>
      </w:r>
      <w:r w:rsidRPr="00341F24">
        <w:rPr>
          <w:rFonts w:ascii="Times New Roman" w:eastAsia="DengXian" w:hAnsi="Times New Roman" w:cs="Times New Roman"/>
          <w:kern w:val="32"/>
          <w:szCs w:val="36"/>
          <w:lang w:val="en-GB" w:eastAsia="zh-CN"/>
        </w:rPr>
        <w:t>Lenovo/</w:t>
      </w:r>
      <w:proofErr w:type="spellStart"/>
      <w:r w:rsidRPr="00341F24">
        <w:rPr>
          <w:rFonts w:ascii="Times New Roman" w:eastAsia="DengXian" w:hAnsi="Times New Roman" w:cs="Times New Roman"/>
          <w:kern w:val="32"/>
          <w:szCs w:val="36"/>
          <w:lang w:val="en-GB" w:eastAsia="zh-CN"/>
        </w:rPr>
        <w:t>MotM</w:t>
      </w:r>
      <w:proofErr w:type="spellEnd"/>
      <w:r>
        <w:rPr>
          <w:rFonts w:ascii="Times New Roman" w:eastAsia="DengXian" w:hAnsi="Times New Roman" w:cs="Times New Roman"/>
          <w:kern w:val="32"/>
          <w:szCs w:val="36"/>
          <w:lang w:val="en-GB" w:eastAsia="zh-CN"/>
        </w:rPr>
        <w:t xml:space="preserve">, OPPO, Nokia, </w:t>
      </w:r>
      <w:proofErr w:type="spellStart"/>
      <w:r w:rsidRPr="0017120C">
        <w:rPr>
          <w:rFonts w:ascii="Times New Roman" w:eastAsia="DengXian" w:hAnsi="Times New Roman" w:cs="Times New Roman"/>
          <w:kern w:val="32"/>
          <w:szCs w:val="36"/>
          <w:lang w:val="en-GB" w:eastAsia="zh-CN"/>
        </w:rPr>
        <w:t>Convida</w:t>
      </w:r>
      <w:proofErr w:type="spellEnd"/>
      <w:r w:rsidRPr="0017120C">
        <w:rPr>
          <w:rFonts w:ascii="Times New Roman" w:eastAsia="DengXian" w:hAnsi="Times New Roman" w:cs="Times New Roman"/>
          <w:kern w:val="32"/>
          <w:szCs w:val="36"/>
          <w:lang w:val="en-GB" w:eastAsia="zh-CN"/>
        </w:rPr>
        <w:t xml:space="preserve"> Wireless</w:t>
      </w:r>
      <w:r>
        <w:rPr>
          <w:rFonts w:ascii="Times New Roman" w:eastAsia="DengXian" w:hAnsi="Times New Roman" w:cs="Times New Roman"/>
          <w:kern w:val="32"/>
          <w:szCs w:val="36"/>
          <w:lang w:val="en-GB" w:eastAsia="zh-CN"/>
        </w:rPr>
        <w:t>, CMCC, CATT</w:t>
      </w:r>
    </w:p>
    <w:p w14:paraId="6EE34126" w14:textId="77777777" w:rsidR="006821F5" w:rsidRDefault="006821F5" w:rsidP="006821F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p w14:paraId="426ED009" w14:textId="48AD1DE0" w:rsidR="006821F5" w:rsidRDefault="006821F5">
      <w:pPr>
        <w:rPr>
          <w:rFonts w:ascii="Times New Roman" w:eastAsia="DengXian" w:hAnsi="Times New Roman" w:cs="Times New Roman"/>
          <w:kern w:val="32"/>
          <w:szCs w:val="36"/>
          <w:lang w:val="en-GB" w:eastAsia="zh-CN"/>
        </w:rPr>
      </w:pPr>
      <w:r>
        <w:rPr>
          <w:rFonts w:ascii="Times New Roman" w:eastAsia="DengXian" w:hAnsi="Times New Roman" w:cs="Times New Roman"/>
          <w:b/>
          <w:bCs/>
          <w:i/>
          <w:iCs/>
          <w:kern w:val="32"/>
          <w:sz w:val="24"/>
          <w:szCs w:val="40"/>
          <w:lang w:val="en-GB" w:eastAsia="zh-CN"/>
        </w:rPr>
        <w:tab/>
      </w:r>
      <w:r>
        <w:rPr>
          <w:rFonts w:ascii="Times New Roman" w:eastAsia="DengXian" w:hAnsi="Times New Roman" w:cs="Times New Roman"/>
          <w:kern w:val="32"/>
          <w:szCs w:val="36"/>
          <w:lang w:val="en-GB" w:eastAsia="zh-CN"/>
        </w:rPr>
        <w:t xml:space="preserve">Samsung, MediaTek, </w:t>
      </w:r>
      <w:r w:rsidRPr="00C0370A">
        <w:rPr>
          <w:rFonts w:ascii="Times New Roman" w:eastAsia="DengXian" w:hAnsi="Times New Roman" w:cs="Times New Roman"/>
          <w:kern w:val="32"/>
          <w:szCs w:val="36"/>
          <w:lang w:val="en-GB" w:eastAsia="zh-CN"/>
        </w:rPr>
        <w:t>Huawei</w:t>
      </w:r>
      <w:r>
        <w:rPr>
          <w:rFonts w:ascii="Times New Roman" w:eastAsia="DengXian" w:hAnsi="Times New Roman" w:cs="Times New Roman"/>
          <w:kern w:val="32"/>
          <w:szCs w:val="36"/>
          <w:lang w:val="en-GB" w:eastAsia="zh-CN"/>
        </w:rPr>
        <w:t>/</w:t>
      </w:r>
      <w:proofErr w:type="spellStart"/>
      <w:r w:rsidRPr="00C0370A">
        <w:rPr>
          <w:rFonts w:ascii="Times New Roman" w:eastAsia="DengXian" w:hAnsi="Times New Roman" w:cs="Times New Roman"/>
          <w:kern w:val="32"/>
          <w:szCs w:val="36"/>
          <w:lang w:val="en-GB" w:eastAsia="zh-CN"/>
        </w:rPr>
        <w:t>HiSilicon</w:t>
      </w:r>
      <w:proofErr w:type="spellEnd"/>
      <w:r>
        <w:rPr>
          <w:rFonts w:ascii="Times New Roman" w:eastAsia="DengXian" w:hAnsi="Times New Roman" w:cs="Times New Roman"/>
          <w:kern w:val="32"/>
          <w:szCs w:val="36"/>
          <w:lang w:val="en-GB" w:eastAsia="zh-CN"/>
        </w:rPr>
        <w:t xml:space="preserve">, vivo, QC, </w:t>
      </w:r>
      <w:proofErr w:type="spellStart"/>
      <w:r w:rsidRPr="00061A8F">
        <w:rPr>
          <w:rFonts w:ascii="Times New Roman" w:eastAsia="DengXian" w:hAnsi="Times New Roman" w:cs="Times New Roman"/>
          <w:kern w:val="32"/>
          <w:szCs w:val="36"/>
          <w:lang w:val="en-GB" w:eastAsia="zh-CN"/>
        </w:rPr>
        <w:t>Spreadtrum</w:t>
      </w:r>
      <w:proofErr w:type="spellEnd"/>
    </w:p>
    <w:p w14:paraId="345FF4F7" w14:textId="77777777" w:rsidR="00CE715A" w:rsidRPr="00204259" w:rsidRDefault="00CE715A">
      <w:pPr>
        <w:rPr>
          <w:rFonts w:ascii="Times New Roman" w:eastAsia="DengXian" w:hAnsi="Times New Roman" w:cs="Times New Roman"/>
          <w:kern w:val="32"/>
          <w:szCs w:val="36"/>
          <w:lang w:val="en-GB"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lastRenderedPageBreak/>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lastRenderedPageBreak/>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w:t>
            </w:r>
            <w:proofErr w:type="gramStart"/>
            <w:r w:rsidRPr="002E20B3">
              <w:rPr>
                <w:rFonts w:ascii="Calibri" w:eastAsia="SimSun" w:hAnsi="Calibri" w:cs="Times"/>
                <w:bCs/>
                <w:iCs/>
                <w:szCs w:val="20"/>
                <w:highlight w:val="cyan"/>
                <w:lang w:val="en-US" w:eastAsia="zh-CN"/>
              </w:rPr>
              <w:t>chance)</w:t>
            </w:r>
            <w:r>
              <w:rPr>
                <w:rFonts w:ascii="Calibri" w:eastAsia="SimSun" w:hAnsi="Calibri" w:cs="Times"/>
                <w:bCs/>
                <w:iCs/>
                <w:szCs w:val="20"/>
                <w:lang w:val="en-US" w:eastAsia="zh-CN"/>
              </w:rPr>
              <w:t>+</w:t>
            </w:r>
            <w:proofErr w:type="gramEnd"/>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w:t>
            </w:r>
            <w:r>
              <w:rPr>
                <w:rFonts w:ascii="Calibri" w:hAnsi="Calibri" w:cs="Times"/>
                <w:bCs/>
                <w:iCs/>
                <w:szCs w:val="20"/>
                <w:lang w:eastAsia="zh-CN"/>
              </w:rPr>
              <w:lastRenderedPageBreak/>
              <w:t xml:space="preserve">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r w:rsidR="00FC6985" w14:paraId="5335B54F" w14:textId="77777777" w:rsidTr="00F90F0E">
        <w:tc>
          <w:tcPr>
            <w:tcW w:w="1795" w:type="dxa"/>
          </w:tcPr>
          <w:p w14:paraId="7A30CB5B" w14:textId="432E89D7" w:rsidR="00FC6985" w:rsidRDefault="00FC6985" w:rsidP="00C06A7D">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CF662B6" w14:textId="0B3A4E43" w:rsidR="00FC6985" w:rsidRDefault="00FC6985" w:rsidP="00C06A7D">
            <w:pPr>
              <w:rPr>
                <w:sz w:val="20"/>
                <w:szCs w:val="20"/>
                <w:lang w:eastAsia="zh-CN"/>
              </w:rPr>
            </w:pPr>
            <w:r>
              <w:rPr>
                <w:rFonts w:hint="eastAsia"/>
                <w:sz w:val="20"/>
                <w:szCs w:val="20"/>
                <w:lang w:eastAsia="zh-CN"/>
              </w:rPr>
              <w:t>S</w:t>
            </w:r>
            <w:r>
              <w:rPr>
                <w:sz w:val="20"/>
                <w:szCs w:val="20"/>
                <w:lang w:eastAsia="zh-CN"/>
              </w:rPr>
              <w:t>upport the proposal and also ok with LG’s version.</w:t>
            </w:r>
          </w:p>
        </w:tc>
      </w:tr>
      <w:tr w:rsidR="00974CD3" w14:paraId="1E85925E" w14:textId="77777777" w:rsidTr="00F90F0E">
        <w:tc>
          <w:tcPr>
            <w:tcW w:w="1795" w:type="dxa"/>
          </w:tcPr>
          <w:p w14:paraId="5D6B106D" w14:textId="05A77E8E" w:rsidR="00974CD3" w:rsidRDefault="00974CD3" w:rsidP="00C06A7D">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205CE" w14:textId="6F04DB22" w:rsidR="00974CD3" w:rsidRDefault="00974CD3" w:rsidP="00974CD3">
            <w:pPr>
              <w:rPr>
                <w:sz w:val="20"/>
                <w:szCs w:val="20"/>
                <w:lang w:eastAsia="zh-CN"/>
              </w:rPr>
            </w:pPr>
            <w:r>
              <w:rPr>
                <w:rFonts w:hint="eastAsia"/>
                <w:sz w:val="20"/>
                <w:szCs w:val="20"/>
                <w:lang w:eastAsia="zh-CN"/>
              </w:rPr>
              <w:t>Support.</w:t>
            </w:r>
          </w:p>
        </w:tc>
      </w:tr>
      <w:tr w:rsidR="00F14789" w14:paraId="7AB2610C" w14:textId="77777777" w:rsidTr="00F90F0E">
        <w:tc>
          <w:tcPr>
            <w:tcW w:w="1795" w:type="dxa"/>
          </w:tcPr>
          <w:p w14:paraId="055A75D9" w14:textId="609C6A32" w:rsidR="00F14789" w:rsidRDefault="00F14789" w:rsidP="00C06A7D">
            <w:pPr>
              <w:autoSpaceDE w:val="0"/>
              <w:autoSpaceDN w:val="0"/>
              <w:adjustRightInd w:val="0"/>
              <w:snapToGrid w:val="0"/>
              <w:rPr>
                <w:sz w:val="20"/>
                <w:szCs w:val="20"/>
                <w:lang w:eastAsia="zh-CN"/>
              </w:rPr>
            </w:pPr>
            <w:r>
              <w:rPr>
                <w:sz w:val="20"/>
                <w:szCs w:val="20"/>
                <w:lang w:eastAsia="zh-CN"/>
              </w:rPr>
              <w:t>Futurewei</w:t>
            </w:r>
          </w:p>
        </w:tc>
        <w:tc>
          <w:tcPr>
            <w:tcW w:w="7070" w:type="dxa"/>
          </w:tcPr>
          <w:p w14:paraId="7A67C9B7" w14:textId="73F5F3A8" w:rsidR="00F14789" w:rsidRDefault="00F14789" w:rsidP="00974CD3">
            <w:pPr>
              <w:rPr>
                <w:sz w:val="20"/>
                <w:szCs w:val="20"/>
                <w:lang w:eastAsia="zh-CN"/>
              </w:rPr>
            </w:pPr>
            <w:r>
              <w:rPr>
                <w:sz w:val="20"/>
                <w:szCs w:val="20"/>
                <w:lang w:eastAsia="zh-CN"/>
              </w:rPr>
              <w:t>Prefer LG’s updated proposal.</w:t>
            </w:r>
          </w:p>
        </w:tc>
      </w:tr>
    </w:tbl>
    <w:p w14:paraId="111900FE" w14:textId="5CBE027E" w:rsidR="006B608F" w:rsidRDefault="006B608F">
      <w:pPr>
        <w:rPr>
          <w:lang w:eastAsia="zh-CN"/>
        </w:rPr>
      </w:pPr>
    </w:p>
    <w:p w14:paraId="007282CE" w14:textId="4AD965A4" w:rsidR="00854989" w:rsidRPr="00854989" w:rsidRDefault="00854989" w:rsidP="00854989">
      <w:pPr>
        <w:pStyle w:val="Heading2"/>
        <w:spacing w:after="120"/>
        <w:rPr>
          <w:rFonts w:ascii="Calibri" w:eastAsia="Batang" w:hAnsi="Calibri" w:cs="Calibri"/>
          <w:b/>
          <w:bCs/>
          <w:sz w:val="28"/>
        </w:rPr>
      </w:pPr>
      <w:r>
        <w:rPr>
          <w:rFonts w:ascii="Calibri" w:eastAsia="Batang" w:hAnsi="Calibri" w:cs="Calibri"/>
          <w:b/>
          <w:bCs/>
          <w:sz w:val="28"/>
        </w:rPr>
        <w:t>Second Update</w:t>
      </w:r>
    </w:p>
    <w:p w14:paraId="2C1A979D" w14:textId="77777777" w:rsidR="003A4BB3" w:rsidRDefault="003A4BB3" w:rsidP="003A4BB3">
      <w:pPr>
        <w:rPr>
          <w:rFonts w:ascii="Times New Roman" w:hAnsi="Times New Roman" w:cs="Times New Roman"/>
          <w:lang w:eastAsia="zh-CN"/>
        </w:rPr>
      </w:pPr>
      <w:r>
        <w:rPr>
          <w:rFonts w:ascii="Times New Roman" w:hAnsi="Times New Roman" w:cs="Times New Roman"/>
          <w:lang w:eastAsia="zh-CN"/>
        </w:rPr>
        <w:t>Proposal 14 is supported by all companies, and Proposal 15 as revised by LG is supported by all companies. Hence both are reported as offline agreements.</w:t>
      </w:r>
    </w:p>
    <w:p w14:paraId="1337368F" w14:textId="77777777" w:rsidR="003A4BB3" w:rsidRDefault="003A4BB3" w:rsidP="003A4BB3">
      <w:pPr>
        <w:rPr>
          <w:rFonts w:ascii="Times New Roman" w:hAnsi="Times New Roman" w:cs="Times New Roman"/>
          <w:lang w:eastAsia="zh-CN"/>
        </w:rPr>
      </w:pPr>
      <w:r w:rsidRPr="00041894">
        <w:rPr>
          <w:rFonts w:ascii="Times New Roman" w:hAnsi="Times New Roman" w:cs="Times New Roman"/>
          <w:lang w:eastAsia="zh-CN"/>
        </w:rPr>
        <w:t>@</w:t>
      </w:r>
      <w:proofErr w:type="gramStart"/>
      <w:r w:rsidRPr="00041894">
        <w:rPr>
          <w:rFonts w:ascii="Times New Roman" w:hAnsi="Times New Roman" w:cs="Times New Roman"/>
          <w:lang w:eastAsia="zh-CN"/>
        </w:rPr>
        <w:t>vivo</w:t>
      </w:r>
      <w:proofErr w:type="gramEnd"/>
      <w:r w:rsidRPr="00041894">
        <w:rPr>
          <w:rFonts w:ascii="Times New Roman" w:hAnsi="Times New Roman" w:cs="Times New Roman"/>
          <w:lang w:eastAsia="zh-CN"/>
        </w:rPr>
        <w:t xml:space="preserve">: </w:t>
      </w:r>
      <w:r>
        <w:rPr>
          <w:rFonts w:ascii="Times New Roman" w:hAnsi="Times New Roman" w:cs="Times New Roman"/>
          <w:lang w:eastAsia="zh-CN"/>
        </w:rPr>
        <w:t xml:space="preserve">My understanding is that all the agreements so far are with the agreed framework (Option 2 +Case 1+Alt3) only. At this stage, a new framework may be too late. Also, SFN is not discussed in this agenda item anymore as clarified by Chairman. </w:t>
      </w:r>
    </w:p>
    <w:p w14:paraId="4834BB3B" w14:textId="77777777" w:rsidR="003A4BB3" w:rsidRDefault="003A4BB3" w:rsidP="003A4BB3">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 (</w:t>
      </w:r>
      <w:r w:rsidRPr="003E2C9B">
        <w:rPr>
          <w:rFonts w:ascii="Times New Roman" w:eastAsia="DengXian" w:hAnsi="Times New Roman" w:cs="Times New Roman"/>
          <w:b/>
          <w:bCs/>
          <w:i/>
          <w:iCs/>
          <w:kern w:val="32"/>
          <w:sz w:val="24"/>
          <w:szCs w:val="40"/>
          <w:highlight w:val="cyan"/>
          <w:u w:val="single"/>
          <w:lang w:val="en-GB" w:eastAsia="zh-CN"/>
        </w:rPr>
        <w:t>offline agreement</w:t>
      </w:r>
      <w:r>
        <w:rPr>
          <w:rFonts w:ascii="Times New Roman" w:eastAsia="DengXian" w:hAnsi="Times New Roman" w:cs="Times New Roman"/>
          <w:b/>
          <w:bCs/>
          <w:i/>
          <w:iCs/>
          <w:kern w:val="32"/>
          <w:sz w:val="24"/>
          <w:szCs w:val="40"/>
          <w:u w:val="single"/>
          <w:lang w:val="en-GB" w:eastAsia="zh-CN"/>
        </w:rPr>
        <w:t>)</w:t>
      </w:r>
      <w:r>
        <w:rPr>
          <w:rFonts w:ascii="Times New Roman" w:eastAsia="DengXian" w:hAnsi="Times New Roman" w:cs="Times New Roman"/>
          <w:b/>
          <w:bCs/>
          <w:i/>
          <w:iCs/>
          <w:kern w:val="32"/>
          <w:sz w:val="24"/>
          <w:szCs w:val="40"/>
          <w:lang w:val="en-GB" w:eastAsia="zh-CN"/>
        </w:rPr>
        <w:t>: Support PDCCH repetition for Type3 CSS.</w:t>
      </w:r>
    </w:p>
    <w:p w14:paraId="29FF9183" w14:textId="77777777" w:rsidR="003A4BB3" w:rsidRDefault="003A4BB3" w:rsidP="003A4BB3">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 (</w:t>
      </w:r>
      <w:r w:rsidRPr="003E2C9B">
        <w:rPr>
          <w:rFonts w:ascii="Times New Roman" w:eastAsia="DengXian" w:hAnsi="Times New Roman" w:cs="Times New Roman"/>
          <w:b/>
          <w:bCs/>
          <w:i/>
          <w:iCs/>
          <w:kern w:val="32"/>
          <w:sz w:val="24"/>
          <w:szCs w:val="40"/>
          <w:highlight w:val="cyan"/>
          <w:u w:val="single"/>
          <w:lang w:val="en-GB" w:eastAsia="zh-CN"/>
        </w:rPr>
        <w:t>offline agreement</w:t>
      </w:r>
      <w:r>
        <w:rPr>
          <w:rFonts w:ascii="Times New Roman" w:eastAsia="DengXian" w:hAnsi="Times New Roman" w:cs="Times New Roman"/>
          <w:b/>
          <w:bCs/>
          <w:i/>
          <w:iCs/>
          <w:kern w:val="32"/>
          <w:sz w:val="24"/>
          <w:szCs w:val="40"/>
          <w:u w:val="single"/>
          <w:lang w:val="en-GB" w:eastAsia="zh-CN"/>
        </w:rPr>
        <w:t>)</w:t>
      </w:r>
      <w:r>
        <w:rPr>
          <w:rFonts w:ascii="Times New Roman" w:eastAsia="DengXian" w:hAnsi="Times New Roman" w:cs="Times New Roman"/>
          <w:b/>
          <w:bCs/>
          <w:i/>
          <w:iCs/>
          <w:kern w:val="32"/>
          <w:sz w:val="24"/>
          <w:szCs w:val="40"/>
          <w:lang w:val="en-GB" w:eastAsia="zh-CN"/>
        </w:rPr>
        <w:t>: For PDCCH repetition in Rel. 17, study the following aspects:</w:t>
      </w:r>
    </w:p>
    <w:p w14:paraId="4C7E2894" w14:textId="77777777" w:rsidR="003A4BB3" w:rsidRPr="00A706F5" w:rsidRDefault="003A4BB3" w:rsidP="003A4BB3">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643A4FF7" w14:textId="72509909" w:rsidR="003A4BB3" w:rsidRPr="006941BE" w:rsidRDefault="003A4BB3" w:rsidP="006941BE">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w:t>
            </w:r>
            <w:r>
              <w:rPr>
                <w:rFonts w:ascii="Times" w:eastAsia="Batang" w:hAnsi="Times" w:cs="Times"/>
                <w:sz w:val="20"/>
                <w:szCs w:val="20"/>
                <w:lang w:val="en-GB" w:eastAsia="zh-CN"/>
              </w:rPr>
              <w:lastRenderedPageBreak/>
              <w:t xml:space="preserve">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lastRenderedPageBreak/>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7267" w14:textId="77777777" w:rsidR="00B73629" w:rsidRDefault="00B73629" w:rsidP="00B5106A">
      <w:pPr>
        <w:spacing w:after="0" w:line="240" w:lineRule="auto"/>
      </w:pPr>
      <w:r>
        <w:separator/>
      </w:r>
    </w:p>
  </w:endnote>
  <w:endnote w:type="continuationSeparator" w:id="0">
    <w:p w14:paraId="6F9E032B" w14:textId="77777777" w:rsidR="00B73629" w:rsidRDefault="00B73629"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Droid Sans Fallback"/>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B2A5" w14:textId="77777777" w:rsidR="00B73629" w:rsidRDefault="00B73629" w:rsidP="00B5106A">
      <w:pPr>
        <w:spacing w:after="0" w:line="240" w:lineRule="auto"/>
      </w:pPr>
      <w:r>
        <w:separator/>
      </w:r>
    </w:p>
  </w:footnote>
  <w:footnote w:type="continuationSeparator" w:id="0">
    <w:p w14:paraId="775B93DC" w14:textId="77777777" w:rsidR="00B73629" w:rsidRDefault="00B73629"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B8494B"/>
    <w:multiLevelType w:val="hybridMultilevel"/>
    <w:tmpl w:val="245E9A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30"/>
  </w:num>
  <w:num w:numId="10">
    <w:abstractNumId w:val="14"/>
  </w:num>
  <w:num w:numId="11">
    <w:abstractNumId w:val="25"/>
  </w:num>
  <w:num w:numId="12">
    <w:abstractNumId w:val="24"/>
  </w:num>
  <w:num w:numId="13">
    <w:abstractNumId w:val="23"/>
  </w:num>
  <w:num w:numId="14">
    <w:abstractNumId w:val="10"/>
  </w:num>
  <w:num w:numId="15">
    <w:abstractNumId w:val="32"/>
  </w:num>
  <w:num w:numId="16">
    <w:abstractNumId w:val="21"/>
  </w:num>
  <w:num w:numId="17">
    <w:abstractNumId w:val="8"/>
  </w:num>
  <w:num w:numId="18">
    <w:abstractNumId w:val="29"/>
  </w:num>
  <w:num w:numId="19">
    <w:abstractNumId w:val="17"/>
  </w:num>
  <w:num w:numId="20">
    <w:abstractNumId w:val="27"/>
  </w:num>
  <w:num w:numId="21">
    <w:abstractNumId w:val="9"/>
  </w:num>
  <w:num w:numId="22">
    <w:abstractNumId w:val="34"/>
  </w:num>
  <w:num w:numId="23">
    <w:abstractNumId w:val="28"/>
  </w:num>
  <w:num w:numId="24">
    <w:abstractNumId w:val="31"/>
  </w:num>
  <w:num w:numId="25">
    <w:abstractNumId w:val="4"/>
  </w:num>
  <w:num w:numId="26">
    <w:abstractNumId w:val="18"/>
  </w:num>
  <w:num w:numId="27">
    <w:abstractNumId w:val="33"/>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0E12"/>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1C"/>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4CC9"/>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259"/>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1A0"/>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4BB3"/>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1A5"/>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4B81"/>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D7E60"/>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E38"/>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6A"/>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1F5"/>
    <w:rsid w:val="006823F2"/>
    <w:rsid w:val="0068387C"/>
    <w:rsid w:val="00683C76"/>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1BE"/>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2EB7"/>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2C3"/>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1FB5"/>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0592"/>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989"/>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180"/>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58C"/>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4CD3"/>
    <w:rsid w:val="00975148"/>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44A"/>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E1F"/>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6B20"/>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629"/>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9F5"/>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15A"/>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98D"/>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1765"/>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33A"/>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0F3B"/>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4789"/>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32E"/>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715"/>
    <w:rsid w:val="00F95E7A"/>
    <w:rsid w:val="00F962DF"/>
    <w:rsid w:val="00F9635A"/>
    <w:rsid w:val="00F96855"/>
    <w:rsid w:val="00F9751F"/>
    <w:rsid w:val="00F97C26"/>
    <w:rsid w:val="00FA04BB"/>
    <w:rsid w:val="00FA0A4D"/>
    <w:rsid w:val="00FA0CD7"/>
    <w:rsid w:val="00FA11A5"/>
    <w:rsid w:val="00FA121E"/>
    <w:rsid w:val="00FA1D4D"/>
    <w:rsid w:val="00FA298B"/>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165"/>
    <w:rsid w:val="00FC343B"/>
    <w:rsid w:val="00FC363D"/>
    <w:rsid w:val="00FC3696"/>
    <w:rsid w:val="00FC38E3"/>
    <w:rsid w:val="00FC3A67"/>
    <w:rsid w:val="00FC3A9F"/>
    <w:rsid w:val="00FC4998"/>
    <w:rsid w:val="00FC4F8D"/>
    <w:rsid w:val="00FC5306"/>
    <w:rsid w:val="00FC6239"/>
    <w:rsid w:val="00FC6985"/>
    <w:rsid w:val="00FC74C5"/>
    <w:rsid w:val="00FC7EDE"/>
    <w:rsid w:val="00FD00AB"/>
    <w:rsid w:val="00FD00FA"/>
    <w:rsid w:val="00FD0675"/>
    <w:rsid w:val="00FD1F32"/>
    <w:rsid w:val="00FD21BB"/>
    <w:rsid w:val="00FD2A4E"/>
    <w:rsid w:val="00FD2F94"/>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 w:type="table" w:customStyle="1" w:styleId="TableGrid621">
    <w:name w:val="Table Grid621"/>
    <w:basedOn w:val="TableNormal"/>
    <w:uiPriority w:val="39"/>
    <w:qFormat/>
    <w:rsid w:val="00FD1F32"/>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847">
      <w:bodyDiv w:val="1"/>
      <w:marLeft w:val="0"/>
      <w:marRight w:val="0"/>
      <w:marTop w:val="0"/>
      <w:marBottom w:val="0"/>
      <w:divBdr>
        <w:top w:val="none" w:sz="0" w:space="0" w:color="auto"/>
        <w:left w:val="none" w:sz="0" w:space="0" w:color="auto"/>
        <w:bottom w:val="none" w:sz="0" w:space="0" w:color="auto"/>
        <w:right w:val="none" w:sz="0" w:space="0" w:color="auto"/>
      </w:divBdr>
    </w:div>
    <w:div w:id="1307316672">
      <w:bodyDiv w:val="1"/>
      <w:marLeft w:val="0"/>
      <w:marRight w:val="0"/>
      <w:marTop w:val="0"/>
      <w:marBottom w:val="0"/>
      <w:divBdr>
        <w:top w:val="none" w:sz="0" w:space="0" w:color="auto"/>
        <w:left w:val="none" w:sz="0" w:space="0" w:color="auto"/>
        <w:bottom w:val="none" w:sz="0" w:space="0" w:color="auto"/>
        <w:right w:val="none" w:sz="0" w:space="0" w:color="auto"/>
      </w:divBdr>
    </w:div>
    <w:div w:id="1749379781">
      <w:bodyDiv w:val="1"/>
      <w:marLeft w:val="0"/>
      <w:marRight w:val="0"/>
      <w:marTop w:val="0"/>
      <w:marBottom w:val="0"/>
      <w:divBdr>
        <w:top w:val="none" w:sz="0" w:space="0" w:color="auto"/>
        <w:left w:val="none" w:sz="0" w:space="0" w:color="auto"/>
        <w:bottom w:val="none" w:sz="0" w:space="0" w:color="auto"/>
        <w:right w:val="none" w:sz="0" w:space="0" w:color="auto"/>
      </w:divBdr>
    </w:div>
    <w:div w:id="180075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2E591058-A1AB-4514-9031-2A7EBD9BD1E6}">
  <ds:schemaRefs>
    <ds:schemaRef ds:uri="http://schemas.openxmlformats.org/officeDocument/2006/bibliography"/>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74C1019-87F8-4EF3-B105-4A7C357824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13189</Words>
  <Characters>75180</Characters>
  <Application>Microsoft Office Word</Application>
  <DocSecurity>0</DocSecurity>
  <Lines>626</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24</cp:revision>
  <dcterms:created xsi:type="dcterms:W3CDTF">2021-08-23T03:07:00Z</dcterms:created>
  <dcterms:modified xsi:type="dcterms:W3CDTF">2021-08-23T04:02:00Z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