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 xml:space="preserve">Summary #2 of email discussions [106-e-NR-feMIMO-03] for </w:t>
      </w:r>
      <w:proofErr w:type="spellStart"/>
      <w:r>
        <w:rPr>
          <w:rFonts w:ascii="Arial" w:eastAsia="宋体" w:hAnsi="Arial" w:cs="Times New Roman"/>
          <w:color w:val="000000"/>
          <w:sz w:val="24"/>
        </w:rPr>
        <w:t>mTRP</w:t>
      </w:r>
      <w:proofErr w:type="spellEnd"/>
      <w:r>
        <w:rPr>
          <w:rFonts w:ascii="Arial" w:eastAsia="宋体"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w:t>
            </w:r>
            <w:proofErr w:type="gramStart"/>
            <w:r>
              <w:rPr>
                <w:rFonts w:eastAsia="宋体"/>
                <w:sz w:val="20"/>
                <w:szCs w:val="20"/>
                <w:lang w:val="en-US" w:eastAsia="zh-CN"/>
              </w:rPr>
              <w:t>1)</w:t>
            </w:r>
            <w:r>
              <w:rPr>
                <w:rFonts w:eastAsia="宋体"/>
                <w:color w:val="FF0000"/>
                <w:sz w:val="20"/>
                <w:szCs w:val="20"/>
                <w:lang w:val="en-US" w:eastAsia="zh-CN"/>
              </w:rPr>
              <w:t>+</w:t>
            </w:r>
            <w:proofErr w:type="gramEnd"/>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等线"/>
                <w:b/>
                <w:bCs/>
                <w:i/>
                <w:iCs/>
                <w:kern w:val="32"/>
                <w:sz w:val="20"/>
                <w:szCs w:val="20"/>
                <w:lang w:val="en-GB" w:eastAsia="zh-CN"/>
              </w:rPr>
              <w:t>d</w:t>
            </w:r>
            <w:proofErr w:type="gramEnd"/>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w:t>
            </w:r>
            <w:proofErr w:type="gramStart"/>
            <w:r>
              <w:rPr>
                <w:rFonts w:eastAsia="宋体"/>
                <w:sz w:val="20"/>
                <w:szCs w:val="20"/>
                <w:lang w:val="en-US" w:eastAsia="zh-CN"/>
              </w:rPr>
              <w:t>5  (</w:t>
            </w:r>
            <w:proofErr w:type="gramEnd"/>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 xml:space="preserve">Option 4: d1,1=3+2*2=7 </w:t>
            </w:r>
            <w:proofErr w:type="gramStart"/>
            <w:r>
              <w:rPr>
                <w:rFonts w:eastAsia="宋体"/>
                <w:sz w:val="20"/>
                <w:szCs w:val="20"/>
                <w:lang w:val="en-US" w:eastAsia="zh-CN"/>
              </w:rPr>
              <w:t>(</w:t>
            </w:r>
            <w:r w:rsidRPr="00A706F5">
              <w:rPr>
                <w:rFonts w:eastAsia="宋体"/>
                <w:sz w:val="20"/>
                <w:szCs w:val="20"/>
                <w:lang w:val="en-US" w:eastAsia="zh-CN"/>
              </w:rPr>
              <w:t xml:space="preserve"> For</w:t>
            </w:r>
            <w:proofErr w:type="gramEnd"/>
            <w:r w:rsidRPr="00A706F5">
              <w:rPr>
                <w:rFonts w:eastAsia="宋体"/>
                <w:sz w:val="20"/>
                <w:szCs w:val="20"/>
                <w:lang w:val="en-US" w:eastAsia="zh-CN"/>
              </w:rPr>
              <w:t xml:space="preserve">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in case PDCCH candidate is lastly decoded in this </w:t>
            </w:r>
            <w:proofErr w:type="gramStart"/>
            <w:r>
              <w:rPr>
                <w:sz w:val="20"/>
                <w:szCs w:val="20"/>
                <w:lang w:eastAsia="zh-CN"/>
              </w:rPr>
              <w:t>slot ,</w:t>
            </w:r>
            <w:proofErr w:type="gramEnd"/>
            <w:r>
              <w:rPr>
                <w:sz w:val="20"/>
                <w:szCs w:val="20"/>
                <w:lang w:eastAsia="zh-CN"/>
              </w:rPr>
              <w:t xml:space="preserve">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r w:rsidR="00FD1F32" w14:paraId="6056D582" w14:textId="77777777" w:rsidTr="00F0735C">
        <w:tc>
          <w:tcPr>
            <w:tcW w:w="1795" w:type="dxa"/>
          </w:tcPr>
          <w:p w14:paraId="78539EF2" w14:textId="62BCBBA1" w:rsidR="00FD1F32" w:rsidRDefault="00FD1F32" w:rsidP="006E0D72">
            <w:pPr>
              <w:autoSpaceDE w:val="0"/>
              <w:autoSpaceDN w:val="0"/>
              <w:adjustRightInd w:val="0"/>
              <w:snapToGrid w:val="0"/>
              <w:rPr>
                <w:rFonts w:hint="eastAsia"/>
                <w:sz w:val="20"/>
                <w:szCs w:val="20"/>
                <w:lang w:eastAsia="zh-CN"/>
              </w:rPr>
            </w:pPr>
            <w:r>
              <w:rPr>
                <w:rFonts w:hint="eastAsia"/>
                <w:sz w:val="20"/>
                <w:szCs w:val="20"/>
                <w:lang w:eastAsia="zh-CN"/>
              </w:rPr>
              <w:t>C</w:t>
            </w:r>
            <w:r>
              <w:rPr>
                <w:sz w:val="20"/>
                <w:szCs w:val="20"/>
                <w:lang w:eastAsia="zh-CN"/>
              </w:rPr>
              <w:t>MCC</w:t>
            </w:r>
          </w:p>
        </w:tc>
        <w:tc>
          <w:tcPr>
            <w:tcW w:w="7070" w:type="dxa"/>
          </w:tcPr>
          <w:p w14:paraId="3B0595F6" w14:textId="420CCA11" w:rsidR="00FD1F32" w:rsidRDefault="00FD1F32" w:rsidP="006E0D72">
            <w:pPr>
              <w:rPr>
                <w:rFonts w:hint="eastAsia"/>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 xml:space="preserve">Option 2 provides more flexibility to </w:t>
            </w:r>
            <w:proofErr w:type="spellStart"/>
            <w:r>
              <w:rPr>
                <w:rFonts w:eastAsia="宋体"/>
                <w:sz w:val="20"/>
                <w:szCs w:val="20"/>
                <w:lang w:val="en-US" w:eastAsia="zh-CN"/>
              </w:rPr>
              <w:t>gNB</w:t>
            </w:r>
            <w:proofErr w:type="spellEnd"/>
            <w:r>
              <w:rPr>
                <w:rFonts w:eastAsia="宋体"/>
                <w:sz w:val="20"/>
                <w:szCs w:val="20"/>
                <w:lang w:val="en-US" w:eastAsia="zh-CN"/>
              </w:rPr>
              <w:t xml:space="preserve">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w:t>
            </w:r>
            <w:proofErr w:type="gramStart"/>
            <w:r w:rsidRPr="00A706F5">
              <w:rPr>
                <w:rFonts w:eastAsia="宋体"/>
                <w:sz w:val="20"/>
                <w:szCs w:val="20"/>
                <w:lang w:val="en-US" w:eastAsia="zh-CN"/>
              </w:rPr>
              <w:t>candidate</w:t>
            </w:r>
            <w:proofErr w:type="gramEnd"/>
            <w:r w:rsidRPr="00A706F5">
              <w:rPr>
                <w:rFonts w:eastAsia="宋体"/>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等线" w:hAnsi="Times New Roman" w:cs="Times New Roman"/>
          <w:b/>
          <w:bCs/>
          <w:i/>
          <w:iCs/>
          <w:kern w:val="32"/>
          <w:sz w:val="24"/>
          <w:szCs w:val="24"/>
          <w:lang w:val="en-GB" w:eastAsia="zh-CN"/>
        </w:rPr>
        <w:t>wrt</w:t>
      </w:r>
      <w:proofErr w:type="spellEnd"/>
      <w:r>
        <w:rPr>
          <w:rFonts w:ascii="Times New Roman" w:eastAsia="等线"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等线" w:hAnsi="Times New Roman" w:cs="Times New Roman"/>
          <w:b/>
          <w:bCs/>
          <w:i/>
          <w:iCs/>
          <w:color w:val="FF0000"/>
          <w:kern w:val="32"/>
          <w:sz w:val="24"/>
          <w:szCs w:val="24"/>
          <w:lang w:val="en-GB" w:eastAsia="zh-CN"/>
        </w:rPr>
        <w:t>wrt</w:t>
      </w:r>
      <w:proofErr w:type="spellEnd"/>
      <w:r>
        <w:rPr>
          <w:rFonts w:ascii="Times New Roman" w:eastAsia="等线"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t>
            </w:r>
            <w:proofErr w:type="spellStart"/>
            <w:r>
              <w:rPr>
                <w:rFonts w:eastAsia="等线"/>
                <w:b/>
                <w:bCs/>
                <w:i/>
                <w:iCs/>
                <w:kern w:val="32"/>
                <w:sz w:val="24"/>
                <w:szCs w:val="24"/>
                <w:lang w:val="en-GB" w:eastAsia="zh-CN"/>
              </w:rPr>
              <w:t>wrt</w:t>
            </w:r>
            <w:proofErr w:type="spellEnd"/>
            <w:r>
              <w:rPr>
                <w:rFonts w:eastAsia="等线"/>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 xml:space="preserve">This means that even though the UE performs up to 44 BDs per slot for 15 </w:t>
            </w:r>
            <w:proofErr w:type="spellStart"/>
            <w:r w:rsidRPr="00C06C5C">
              <w:rPr>
                <w:sz w:val="20"/>
                <w:szCs w:val="20"/>
                <w:lang w:eastAsia="zh-CN"/>
              </w:rPr>
              <w:t>KHz</w:t>
            </w:r>
            <w:proofErr w:type="spellEnd"/>
            <w:r w:rsidRPr="00C06C5C">
              <w:rPr>
                <w:sz w:val="20"/>
                <w:szCs w:val="20"/>
                <w:lang w:eastAsia="zh-CN"/>
              </w:rPr>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r w:rsidR="00040E12" w14:paraId="784F1560" w14:textId="77777777" w:rsidTr="00F93CD5">
        <w:tc>
          <w:tcPr>
            <w:tcW w:w="1795" w:type="dxa"/>
          </w:tcPr>
          <w:p w14:paraId="10E9849B" w14:textId="60048E29" w:rsidR="00040E12" w:rsidRDefault="00FC3165" w:rsidP="009100C3">
            <w:pPr>
              <w:autoSpaceDE w:val="0"/>
              <w:autoSpaceDN w:val="0"/>
              <w:adjustRightInd w:val="0"/>
              <w:snapToGrid w:val="0"/>
              <w:rPr>
                <w:sz w:val="20"/>
                <w:szCs w:val="20"/>
                <w:lang w:eastAsia="zh-CN"/>
              </w:rPr>
            </w:pPr>
            <w:r>
              <w:rPr>
                <w:sz w:val="20"/>
                <w:szCs w:val="20"/>
                <w:lang w:eastAsia="zh-CN"/>
              </w:rPr>
              <w:t>Intel</w:t>
            </w:r>
          </w:p>
        </w:tc>
        <w:tc>
          <w:tcPr>
            <w:tcW w:w="7070" w:type="dxa"/>
          </w:tcPr>
          <w:p w14:paraId="731A9ED4" w14:textId="77777777" w:rsidR="00FC3165" w:rsidRPr="00B53D71" w:rsidRDefault="00FC3165" w:rsidP="00FC3165">
            <w:pPr>
              <w:rPr>
                <w:color w:val="1F497D"/>
                <w:sz w:val="20"/>
                <w:szCs w:val="20"/>
              </w:rPr>
            </w:pPr>
            <w:r>
              <w:rPr>
                <w:color w:val="1F497D"/>
                <w:sz w:val="20"/>
                <w:szCs w:val="20"/>
              </w:rPr>
              <w:t xml:space="preserve">use-case: </w:t>
            </w:r>
            <w:r w:rsidRPr="00B53D71">
              <w:rPr>
                <w:color w:val="1F497D"/>
                <w:sz w:val="20"/>
                <w:szCs w:val="20"/>
              </w:rPr>
              <w:t xml:space="preserve">we expect SS-sets for </w:t>
            </w:r>
            <w:proofErr w:type="spellStart"/>
            <w:r w:rsidRPr="00B53D71">
              <w:rPr>
                <w:color w:val="1F497D"/>
                <w:sz w:val="20"/>
                <w:szCs w:val="20"/>
              </w:rPr>
              <w:t>sTRP</w:t>
            </w:r>
            <w:proofErr w:type="spellEnd"/>
            <w:r w:rsidRPr="00B53D71">
              <w:rPr>
                <w:color w:val="1F497D"/>
                <w:sz w:val="20"/>
                <w:szCs w:val="20"/>
              </w:rPr>
              <w:t xml:space="preserve"> (individual candidate) and </w:t>
            </w:r>
            <w:proofErr w:type="spellStart"/>
            <w:r w:rsidRPr="00B53D71">
              <w:rPr>
                <w:color w:val="1F497D"/>
                <w:sz w:val="20"/>
                <w:szCs w:val="20"/>
              </w:rPr>
              <w:t>mTRP</w:t>
            </w:r>
            <w:proofErr w:type="spellEnd"/>
            <w:r w:rsidRPr="00B53D71">
              <w:rPr>
                <w:color w:val="1F497D"/>
                <w:sz w:val="20"/>
                <w:szCs w:val="20"/>
              </w:rPr>
              <w:t xml:space="preserve"> (linked candidates) would typically overlap </w:t>
            </w:r>
            <w:r>
              <w:rPr>
                <w:color w:val="1F497D"/>
                <w:sz w:val="20"/>
                <w:szCs w:val="20"/>
              </w:rPr>
              <w:t xml:space="preserve">to allow dynamic switching of </w:t>
            </w:r>
            <w:proofErr w:type="spellStart"/>
            <w:r>
              <w:rPr>
                <w:color w:val="1F497D"/>
                <w:sz w:val="20"/>
                <w:szCs w:val="20"/>
              </w:rPr>
              <w:t>sTRP</w:t>
            </w:r>
            <w:proofErr w:type="spellEnd"/>
            <w:r>
              <w:rPr>
                <w:color w:val="1F497D"/>
                <w:sz w:val="20"/>
                <w:szCs w:val="20"/>
              </w:rPr>
              <w:t>/</w:t>
            </w:r>
            <w:proofErr w:type="spellStart"/>
            <w:r>
              <w:rPr>
                <w:color w:val="1F497D"/>
                <w:sz w:val="20"/>
                <w:szCs w:val="20"/>
              </w:rPr>
              <w:t>mTRP</w:t>
            </w:r>
            <w:proofErr w:type="spellEnd"/>
            <w:r>
              <w:rPr>
                <w:color w:val="1F497D"/>
                <w:sz w:val="20"/>
                <w:szCs w:val="20"/>
              </w:rPr>
              <w:t xml:space="preserve"> PDCCH Tx as this is more efficient for CCE count and overlapping candidates are also efficient in terms of BD count.</w:t>
            </w:r>
          </w:p>
          <w:p w14:paraId="5F4C1AA8" w14:textId="77777777" w:rsidR="00FC3165" w:rsidRPr="00B53D71" w:rsidRDefault="00FC3165" w:rsidP="00FC3165">
            <w:pPr>
              <w:rPr>
                <w:color w:val="1F497D"/>
                <w:sz w:val="20"/>
                <w:szCs w:val="20"/>
              </w:rPr>
            </w:pPr>
          </w:p>
          <w:p w14:paraId="05A791C0" w14:textId="77777777" w:rsidR="00FC3165" w:rsidRPr="00B53D71" w:rsidRDefault="00FC3165" w:rsidP="00FC3165">
            <w:pPr>
              <w:rPr>
                <w:color w:val="1F497D"/>
                <w:sz w:val="20"/>
                <w:szCs w:val="20"/>
              </w:rPr>
            </w:pPr>
            <w:r w:rsidRPr="00B53D71">
              <w:rPr>
                <w:color w:val="1F497D"/>
                <w:sz w:val="20"/>
                <w:szCs w:val="20"/>
              </w:rPr>
              <w:t xml:space="preserve">In the following we </w:t>
            </w:r>
            <w:r>
              <w:rPr>
                <w:color w:val="1F497D"/>
                <w:sz w:val="20"/>
                <w:szCs w:val="20"/>
              </w:rPr>
              <w:t xml:space="preserve">explain why not monitoring individual candidate is a problem for PDCCH scheduling. We can </w:t>
            </w:r>
            <w:r w:rsidRPr="00B53D71">
              <w:rPr>
                <w:color w:val="1F497D"/>
                <w:sz w:val="20"/>
                <w:szCs w:val="20"/>
              </w:rPr>
              <w:t xml:space="preserve">assume option-1 that individual candidate is not counted/monitored </w:t>
            </w:r>
            <w:r>
              <w:rPr>
                <w:color w:val="1F497D"/>
                <w:sz w:val="20"/>
                <w:szCs w:val="20"/>
              </w:rPr>
              <w:t xml:space="preserve">(as in proposal 3) </w:t>
            </w:r>
            <w:r w:rsidRPr="00B53D71">
              <w:rPr>
                <w:color w:val="1F497D"/>
                <w:sz w:val="20"/>
                <w:szCs w:val="20"/>
              </w:rPr>
              <w:t>and analyze 4 combinations of monitoring/BD counting. The arguments below remain about the same for options-2/3.</w:t>
            </w:r>
          </w:p>
          <w:p w14:paraId="088F29C0" w14:textId="77777777" w:rsidR="00FC3165" w:rsidRPr="00B53D71" w:rsidRDefault="00FC3165" w:rsidP="00FC3165">
            <w:pPr>
              <w:rPr>
                <w:color w:val="1F497D"/>
                <w:sz w:val="20"/>
                <w:szCs w:val="20"/>
              </w:rPr>
            </w:pPr>
          </w:p>
          <w:p w14:paraId="77416AA9" w14:textId="77777777" w:rsidR="00FC3165" w:rsidRPr="00B53D71" w:rsidRDefault="00FC3165" w:rsidP="00FC3165">
            <w:pPr>
              <w:rPr>
                <w:color w:val="1F497D"/>
                <w:sz w:val="20"/>
                <w:szCs w:val="20"/>
              </w:rPr>
            </w:pPr>
            <w:r w:rsidRPr="00B53D71">
              <w:rPr>
                <w:color w:val="1F497D"/>
                <w:sz w:val="20"/>
                <w:szCs w:val="20"/>
              </w:rPr>
              <w:t>Case -1: The individual candidate is monitored but not counted (Round-1 option-1)</w:t>
            </w:r>
          </w:p>
          <w:p w14:paraId="23A5D347" w14:textId="77777777" w:rsidR="00FC3165" w:rsidRPr="00B53D71" w:rsidRDefault="00FC3165" w:rsidP="00FC3165">
            <w:pPr>
              <w:rPr>
                <w:color w:val="1F497D"/>
                <w:sz w:val="20"/>
                <w:szCs w:val="20"/>
              </w:rPr>
            </w:pPr>
          </w:p>
          <w:p w14:paraId="2BA70444" w14:textId="77777777" w:rsidR="00FC3165" w:rsidRPr="00B53D71" w:rsidRDefault="00FC3165" w:rsidP="00FC3165">
            <w:pPr>
              <w:rPr>
                <w:color w:val="1F497D"/>
                <w:sz w:val="20"/>
                <w:szCs w:val="20"/>
              </w:rPr>
            </w:pPr>
            <w:r w:rsidRPr="00B53D71">
              <w:rPr>
                <w:color w:val="1F497D"/>
                <w:sz w:val="20"/>
                <w:szCs w:val="20"/>
              </w:rPr>
              <w:t>(+) Rel-15/16 behavior</w:t>
            </w:r>
          </w:p>
          <w:p w14:paraId="415B6464"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A27394D" w14:textId="77777777" w:rsidR="00FC3165" w:rsidRPr="00B53D71" w:rsidRDefault="00FC3165" w:rsidP="00FC3165">
            <w:pPr>
              <w:rPr>
                <w:color w:val="1F497D"/>
                <w:sz w:val="20"/>
                <w:szCs w:val="20"/>
              </w:rPr>
            </w:pPr>
            <w:r w:rsidRPr="00B53D71">
              <w:rPr>
                <w:color w:val="1F497D"/>
                <w:sz w:val="20"/>
                <w:szCs w:val="20"/>
              </w:rPr>
              <w:t>(+) Ok for UEs with individual decoding capability (e.g. UEs reporting BD=3 and may be some UEs reporting BD=2)</w:t>
            </w:r>
          </w:p>
          <w:p w14:paraId="7DCE2B2A" w14:textId="77777777" w:rsidR="00FC3165" w:rsidRPr="00B53D71"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
          <w:p w14:paraId="695AF58C" w14:textId="77777777" w:rsidR="00FC3165" w:rsidRPr="00B53D71" w:rsidRDefault="00FC3165" w:rsidP="00FC3165">
            <w:pPr>
              <w:rPr>
                <w:color w:val="1F497D"/>
                <w:sz w:val="20"/>
                <w:szCs w:val="20"/>
              </w:rPr>
            </w:pPr>
            <w:r w:rsidRPr="00B53D71">
              <w:rPr>
                <w:color w:val="1F497D"/>
                <w:sz w:val="20"/>
                <w:szCs w:val="20"/>
              </w:rPr>
              <w:t>(-) soft-combining complexity concern (MTK)</w:t>
            </w:r>
          </w:p>
          <w:p w14:paraId="618AEF79" w14:textId="77777777" w:rsidR="00FC3165" w:rsidRPr="00B53D71" w:rsidRDefault="00FC3165" w:rsidP="00FC3165">
            <w:pPr>
              <w:rPr>
                <w:color w:val="1F497D"/>
                <w:sz w:val="20"/>
                <w:szCs w:val="20"/>
              </w:rPr>
            </w:pPr>
          </w:p>
          <w:p w14:paraId="2A11D936" w14:textId="77777777" w:rsidR="00FC3165" w:rsidRPr="00B53D71" w:rsidRDefault="00FC3165" w:rsidP="00FC3165">
            <w:pPr>
              <w:rPr>
                <w:color w:val="1F497D"/>
                <w:sz w:val="20"/>
                <w:szCs w:val="20"/>
              </w:rPr>
            </w:pPr>
            <w:r w:rsidRPr="00B53D71">
              <w:rPr>
                <w:color w:val="1F497D"/>
                <w:sz w:val="20"/>
                <w:szCs w:val="20"/>
              </w:rPr>
              <w:t>Case -2: The individual candidate is not monitored but counted (Round-2 proposal)</w:t>
            </w:r>
          </w:p>
          <w:p w14:paraId="09C6C7CF" w14:textId="77777777" w:rsidR="00FC3165" w:rsidRPr="00B53D71" w:rsidRDefault="00FC3165" w:rsidP="00FC3165">
            <w:pPr>
              <w:rPr>
                <w:color w:val="1F497D"/>
                <w:sz w:val="20"/>
                <w:szCs w:val="20"/>
              </w:rPr>
            </w:pPr>
          </w:p>
          <w:p w14:paraId="29EC05D9"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5EA931C4"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because</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does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1BE7278A" w14:textId="77777777" w:rsidR="00FC3165" w:rsidRPr="00B53D71" w:rsidRDefault="00FC3165" w:rsidP="00FC3165">
            <w:pPr>
              <w:rPr>
                <w:color w:val="1F497D"/>
                <w:sz w:val="20"/>
                <w:szCs w:val="20"/>
              </w:rPr>
            </w:pPr>
            <w:r w:rsidRPr="00B53D71">
              <w:rPr>
                <w:color w:val="1F497D"/>
                <w:sz w:val="20"/>
                <w:szCs w:val="20"/>
              </w:rPr>
              <w:t>(-) 1 BD wasted per overlap</w:t>
            </w:r>
            <w:r>
              <w:rPr>
                <w:color w:val="1F497D"/>
                <w:sz w:val="20"/>
                <w:szCs w:val="20"/>
              </w:rPr>
              <w:t xml:space="preserve"> (BD for individual is counted but not used)</w:t>
            </w:r>
          </w:p>
          <w:p w14:paraId="0DE48BDD" w14:textId="77777777" w:rsidR="00FC3165" w:rsidRPr="00B53D71" w:rsidRDefault="00FC3165" w:rsidP="00FC3165">
            <w:pPr>
              <w:rPr>
                <w:color w:val="1F497D"/>
                <w:sz w:val="20"/>
                <w:szCs w:val="20"/>
              </w:rPr>
            </w:pPr>
          </w:p>
          <w:p w14:paraId="13D64FA4" w14:textId="77777777" w:rsidR="00FC3165" w:rsidRPr="00B53D71" w:rsidRDefault="00FC3165" w:rsidP="00FC3165">
            <w:pPr>
              <w:rPr>
                <w:color w:val="1F497D"/>
                <w:sz w:val="20"/>
                <w:szCs w:val="20"/>
              </w:rPr>
            </w:pPr>
            <w:r w:rsidRPr="00B53D71">
              <w:rPr>
                <w:color w:val="1F497D"/>
                <w:sz w:val="20"/>
                <w:szCs w:val="20"/>
              </w:rPr>
              <w:t xml:space="preserve">Case -3: The individual candidate is not monitored and not counted </w:t>
            </w:r>
          </w:p>
          <w:p w14:paraId="1FB9FC74" w14:textId="77777777" w:rsidR="00FC3165" w:rsidRPr="00B53D71" w:rsidRDefault="00FC3165" w:rsidP="00FC3165">
            <w:pPr>
              <w:rPr>
                <w:color w:val="1F497D"/>
                <w:sz w:val="20"/>
                <w:szCs w:val="20"/>
              </w:rPr>
            </w:pPr>
          </w:p>
          <w:p w14:paraId="3D16B89F" w14:textId="77777777" w:rsidR="00FC3165" w:rsidRPr="00B53D71" w:rsidRDefault="00FC3165" w:rsidP="00FC3165">
            <w:pPr>
              <w:rPr>
                <w:color w:val="1F497D"/>
                <w:sz w:val="20"/>
                <w:szCs w:val="20"/>
              </w:rPr>
            </w:pPr>
            <w:r w:rsidRPr="00B53D71">
              <w:rPr>
                <w:color w:val="1F497D"/>
                <w:sz w:val="20"/>
                <w:szCs w:val="20"/>
              </w:rPr>
              <w:lastRenderedPageBreak/>
              <w:t xml:space="preserve">(-) cannot handle different DCI formats of same size (parsing </w:t>
            </w:r>
            <w:r>
              <w:rPr>
                <w:color w:val="1F497D"/>
                <w:sz w:val="20"/>
                <w:szCs w:val="20"/>
              </w:rPr>
              <w:t>due</w:t>
            </w:r>
            <w:r w:rsidRPr="00B53D71">
              <w:rPr>
                <w:color w:val="1F497D"/>
                <w:sz w:val="20"/>
                <w:szCs w:val="20"/>
              </w:rPr>
              <w:t xml:space="preserve"> to linked SS-set)</w:t>
            </w:r>
          </w:p>
          <w:p w14:paraId="2BB5745E"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as</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may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6B3E145C" w14:textId="77777777" w:rsidR="00FC3165" w:rsidRPr="00B53D71" w:rsidRDefault="00FC3165" w:rsidP="00FC3165">
            <w:pPr>
              <w:rPr>
                <w:color w:val="1F497D"/>
                <w:sz w:val="20"/>
                <w:szCs w:val="20"/>
              </w:rPr>
            </w:pPr>
          </w:p>
          <w:p w14:paraId="47A001EF" w14:textId="77777777" w:rsidR="00FC3165" w:rsidRPr="00B53D71" w:rsidRDefault="00FC3165" w:rsidP="00FC3165">
            <w:pPr>
              <w:rPr>
                <w:color w:val="1F497D"/>
                <w:sz w:val="20"/>
                <w:szCs w:val="20"/>
              </w:rPr>
            </w:pPr>
            <w:r w:rsidRPr="00B53D71">
              <w:rPr>
                <w:color w:val="1F497D"/>
                <w:sz w:val="20"/>
                <w:szCs w:val="20"/>
              </w:rPr>
              <w:t>Case -4: The individual candidate is monitored and counted</w:t>
            </w:r>
          </w:p>
          <w:p w14:paraId="6077190C" w14:textId="77777777" w:rsidR="00FC3165" w:rsidRPr="00B53D71" w:rsidRDefault="00FC3165" w:rsidP="00FC3165">
            <w:pPr>
              <w:rPr>
                <w:color w:val="1F497D"/>
                <w:sz w:val="20"/>
                <w:szCs w:val="20"/>
              </w:rPr>
            </w:pPr>
          </w:p>
          <w:p w14:paraId="5408B86D"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D9809FB" w14:textId="77777777" w:rsidR="00FC3165" w:rsidRDefault="00FC3165" w:rsidP="00FC3165">
            <w:pPr>
              <w:rPr>
                <w:color w:val="1F497D"/>
                <w:sz w:val="20"/>
                <w:szCs w:val="20"/>
              </w:rPr>
            </w:pPr>
            <w:r w:rsidRPr="00B53D71">
              <w:rPr>
                <w:color w:val="1F497D"/>
                <w:sz w:val="20"/>
                <w:szCs w:val="20"/>
              </w:rPr>
              <w:t>(+) Ok for UEs with soft-combining complexity</w:t>
            </w:r>
          </w:p>
          <w:p w14:paraId="7CC3E0F5" w14:textId="77777777" w:rsidR="00FC3165"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p>
          <w:p w14:paraId="019A2419" w14:textId="77777777" w:rsidR="00FC3165" w:rsidRPr="00B53D71" w:rsidRDefault="00FC3165" w:rsidP="00FC3165">
            <w:pPr>
              <w:rPr>
                <w:color w:val="1F497D"/>
                <w:sz w:val="20"/>
                <w:szCs w:val="20"/>
              </w:rPr>
            </w:pPr>
            <w:r>
              <w:rPr>
                <w:color w:val="1F497D"/>
                <w:sz w:val="20"/>
                <w:szCs w:val="20"/>
              </w:rPr>
              <w:t>(+) can address soft-combining complexity issue</w:t>
            </w:r>
            <w:r w:rsidRPr="00B53D71">
              <w:rPr>
                <w:color w:val="1F497D"/>
                <w:sz w:val="20"/>
                <w:szCs w:val="20"/>
              </w:rPr>
              <w:t xml:space="preserve"> </w:t>
            </w:r>
          </w:p>
          <w:p w14:paraId="116787C3" w14:textId="77777777" w:rsidR="00FC3165" w:rsidRPr="00B53D71" w:rsidRDefault="00FC3165" w:rsidP="00FC3165">
            <w:pPr>
              <w:rPr>
                <w:color w:val="1F497D"/>
                <w:sz w:val="20"/>
                <w:szCs w:val="20"/>
              </w:rPr>
            </w:pPr>
            <w:r w:rsidRPr="00B53D71">
              <w:rPr>
                <w:color w:val="1F497D"/>
                <w:sz w:val="20"/>
                <w:szCs w:val="20"/>
              </w:rPr>
              <w:t xml:space="preserve">(-) </w:t>
            </w:r>
            <w:r>
              <w:rPr>
                <w:color w:val="1F497D"/>
                <w:sz w:val="20"/>
                <w:szCs w:val="20"/>
              </w:rPr>
              <w:t>Not needed</w:t>
            </w:r>
            <w:r w:rsidRPr="00B53D71">
              <w:rPr>
                <w:color w:val="1F497D"/>
                <w:sz w:val="20"/>
                <w:szCs w:val="20"/>
              </w:rPr>
              <w:t xml:space="preserve"> for UEs with individual decoding capability (e.g. UEs reporting BD=3 and may be some UEs reporting BD=2), but </w:t>
            </w:r>
            <w:r>
              <w:rPr>
                <w:color w:val="1F497D"/>
                <w:sz w:val="20"/>
                <w:szCs w:val="20"/>
              </w:rPr>
              <w:t xml:space="preserve">such UEs </w:t>
            </w:r>
            <w:r w:rsidRPr="00B53D71">
              <w:rPr>
                <w:color w:val="1F497D"/>
                <w:sz w:val="20"/>
                <w:szCs w:val="20"/>
              </w:rPr>
              <w:t>can be excluded through UE capability</w:t>
            </w:r>
          </w:p>
          <w:p w14:paraId="4BCFEB8D" w14:textId="77777777" w:rsidR="00FC3165" w:rsidRPr="00B53D71" w:rsidRDefault="00FC3165" w:rsidP="00FC3165">
            <w:pPr>
              <w:rPr>
                <w:sz w:val="20"/>
                <w:szCs w:val="20"/>
                <w:lang w:eastAsia="zh-CN"/>
              </w:rPr>
            </w:pPr>
          </w:p>
          <w:p w14:paraId="6990EFDE" w14:textId="028C6FE8" w:rsidR="00040E12" w:rsidRDefault="00FC3165" w:rsidP="00FC3165">
            <w:pPr>
              <w:rPr>
                <w:sz w:val="20"/>
                <w:szCs w:val="20"/>
                <w:lang w:eastAsia="zh-CN"/>
              </w:rPr>
            </w:pPr>
            <w:r w:rsidRPr="00B53D71">
              <w:rPr>
                <w:sz w:val="20"/>
                <w:szCs w:val="20"/>
                <w:lang w:eastAsia="zh-CN"/>
              </w:rPr>
              <w:t xml:space="preserve">we think retaining Rel-15 behavior of monitoring individual candidate </w:t>
            </w:r>
            <w:r>
              <w:rPr>
                <w:sz w:val="20"/>
                <w:szCs w:val="20"/>
                <w:lang w:eastAsia="zh-CN"/>
              </w:rPr>
              <w:t xml:space="preserve">makes even more sense for </w:t>
            </w:r>
            <w:proofErr w:type="spellStart"/>
            <w:r>
              <w:rPr>
                <w:sz w:val="20"/>
                <w:szCs w:val="20"/>
                <w:lang w:eastAsia="zh-CN"/>
              </w:rPr>
              <w:t>mTRP</w:t>
            </w:r>
            <w:proofErr w:type="spellEnd"/>
            <w:r>
              <w:rPr>
                <w:sz w:val="20"/>
                <w:szCs w:val="20"/>
                <w:lang w:eastAsia="zh-CN"/>
              </w:rPr>
              <w:t xml:space="preserve"> repetition.</w:t>
            </w:r>
            <w:r w:rsidRPr="00B53D71">
              <w:rPr>
                <w:sz w:val="20"/>
                <w:szCs w:val="20"/>
                <w:lang w:eastAsia="zh-CN"/>
              </w:rPr>
              <w:t xml:space="preserve"> </w:t>
            </w:r>
            <w:r>
              <w:rPr>
                <w:sz w:val="20"/>
                <w:szCs w:val="20"/>
                <w:lang w:eastAsia="zh-CN"/>
              </w:rPr>
              <w:t>The BD count for overlap</w:t>
            </w:r>
            <w:r w:rsidRPr="00B53D71">
              <w:rPr>
                <w:sz w:val="20"/>
                <w:szCs w:val="20"/>
                <w:lang w:eastAsia="zh-CN"/>
              </w:rPr>
              <w:t xml:space="preserve"> </w:t>
            </w:r>
            <w:r>
              <w:rPr>
                <w:sz w:val="20"/>
                <w:szCs w:val="20"/>
                <w:lang w:eastAsia="zh-CN"/>
              </w:rPr>
              <w:t>can be adjusted, possibly based on UE capability to address UE complexity (for soft-combining and possibly for duplicate counting). This issue can be further discussed.</w:t>
            </w:r>
          </w:p>
        </w:tc>
      </w:tr>
    </w:tbl>
    <w:tbl>
      <w:tblPr>
        <w:tblStyle w:val="TableGrid621"/>
        <w:tblW w:w="8865" w:type="dxa"/>
        <w:tblInd w:w="-5" w:type="dxa"/>
        <w:tblLayout w:type="fixed"/>
        <w:tblLook w:val="04A0" w:firstRow="1" w:lastRow="0" w:firstColumn="1" w:lastColumn="0" w:noHBand="0" w:noVBand="1"/>
      </w:tblPr>
      <w:tblGrid>
        <w:gridCol w:w="1795"/>
        <w:gridCol w:w="7070"/>
      </w:tblGrid>
      <w:tr w:rsidR="00FD1F32" w14:paraId="6032EC00" w14:textId="77777777" w:rsidTr="00FD1F32">
        <w:tc>
          <w:tcPr>
            <w:tcW w:w="1795" w:type="dxa"/>
            <w:tcBorders>
              <w:top w:val="single" w:sz="4" w:space="0" w:color="auto"/>
              <w:left w:val="single" w:sz="4" w:space="0" w:color="auto"/>
              <w:bottom w:val="single" w:sz="4" w:space="0" w:color="auto"/>
              <w:right w:val="single" w:sz="4" w:space="0" w:color="auto"/>
            </w:tcBorders>
            <w:hideMark/>
          </w:tcPr>
          <w:p w14:paraId="2F566D35" w14:textId="77777777" w:rsidR="00FD1F32" w:rsidRDefault="00FD1F32">
            <w:pPr>
              <w:autoSpaceDE w:val="0"/>
              <w:autoSpaceDN w:val="0"/>
              <w:adjustRightInd w:val="0"/>
              <w:snapToGrid w:val="0"/>
              <w:rPr>
                <w:sz w:val="20"/>
                <w:szCs w:val="20"/>
                <w:lang w:eastAsia="zh-CN"/>
              </w:rPr>
            </w:pPr>
            <w:r>
              <w:rPr>
                <w:sz w:val="20"/>
                <w:szCs w:val="20"/>
                <w:lang w:eastAsia="zh-CN"/>
              </w:rPr>
              <w:lastRenderedPageBreak/>
              <w:t>CMCC</w:t>
            </w:r>
          </w:p>
        </w:tc>
        <w:tc>
          <w:tcPr>
            <w:tcW w:w="7070" w:type="dxa"/>
            <w:tcBorders>
              <w:top w:val="single" w:sz="4" w:space="0" w:color="auto"/>
              <w:left w:val="single" w:sz="4" w:space="0" w:color="auto"/>
              <w:bottom w:val="single" w:sz="4" w:space="0" w:color="auto"/>
              <w:right w:val="single" w:sz="4" w:space="0" w:color="auto"/>
            </w:tcBorders>
            <w:hideMark/>
          </w:tcPr>
          <w:p w14:paraId="21A866A5" w14:textId="77777777" w:rsidR="00FD1F32" w:rsidRDefault="00FD1F32">
            <w:pPr>
              <w:rPr>
                <w:sz w:val="20"/>
                <w:szCs w:val="20"/>
                <w:lang w:eastAsia="zh-CN"/>
              </w:rPr>
            </w:pPr>
            <w:r>
              <w:rPr>
                <w:sz w:val="20"/>
                <w:szCs w:val="20"/>
                <w:lang w:eastAsia="zh-CN"/>
              </w:rPr>
              <w:t>Support in principle and ok with Huawei’s version.</w:t>
            </w:r>
          </w:p>
          <w:p w14:paraId="547679FE" w14:textId="77777777" w:rsidR="00FD1F32" w:rsidRDefault="00FD1F32">
            <w:pPr>
              <w:rPr>
                <w:sz w:val="20"/>
                <w:szCs w:val="20"/>
                <w:lang w:eastAsia="zh-CN"/>
              </w:rPr>
            </w:pPr>
            <w:r>
              <w:rPr>
                <w:sz w:val="20"/>
                <w:szCs w:val="20"/>
                <w:lang w:eastAsia="zh-CN"/>
              </w:rPr>
              <w:t>We think the note is not needed as many companies already said. If one candidate is not monitored, then there is no need to blind decode it and count it for BD. The candidate should not be monitored and not counted for monitoring too.</w:t>
            </w:r>
          </w:p>
        </w:tc>
      </w:tr>
    </w:tbl>
    <w:p w14:paraId="69C461E7" w14:textId="76A960CD" w:rsidR="006B608F" w:rsidRPr="00FD1F32"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 xml:space="preserve">It can be configured only if UE indicates 3 </w:t>
      </w:r>
      <w:proofErr w:type="spellStart"/>
      <w:r w:rsidRPr="00A706F5">
        <w:rPr>
          <w:rFonts w:eastAsia="等线"/>
          <w:b/>
          <w:bCs/>
          <w:i/>
          <w:iCs/>
          <w:kern w:val="32"/>
          <w:szCs w:val="20"/>
          <w:lang w:val="en-US" w:eastAsia="zh-CN"/>
        </w:rPr>
        <w:t>BDs.</w:t>
      </w:r>
      <w:proofErr w:type="spellEnd"/>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lastRenderedPageBreak/>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lastRenderedPageBreak/>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indicates 3 </w:t>
      </w:r>
      <w:proofErr w:type="spellStart"/>
      <w:r>
        <w:rPr>
          <w:rFonts w:ascii="Times" w:eastAsia="等线" w:hAnsi="Times"/>
          <w:b/>
          <w:bCs/>
          <w:i/>
          <w:iCs/>
          <w:kern w:val="32"/>
          <w:szCs w:val="40"/>
          <w:lang w:val="en-GB" w:eastAsia="zh-CN"/>
        </w:rPr>
        <w:t>BDs.</w:t>
      </w:r>
      <w:proofErr w:type="spellEnd"/>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The default cases should be 3 BDs, rather than 2 BD</w:t>
            </w:r>
          </w:p>
          <w:p w14:paraId="21F4C417" w14:textId="77777777" w:rsidR="00AD7518" w:rsidRPr="00566199"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 xml:space="preserve">The </w:t>
            </w:r>
            <w:proofErr w:type="spellStart"/>
            <w:r>
              <w:rPr>
                <w:rFonts w:eastAsia="宋体"/>
                <w:sz w:val="20"/>
                <w:szCs w:val="20"/>
                <w:lang w:val="en-US" w:eastAsia="zh-CN"/>
              </w:rPr>
              <w:t>gNB</w:t>
            </w:r>
            <w:proofErr w:type="spellEnd"/>
            <w:r>
              <w:rPr>
                <w:rFonts w:eastAsia="宋体"/>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w:t>
            </w:r>
            <w:r>
              <w:rPr>
                <w:sz w:val="20"/>
                <w:szCs w:val="20"/>
                <w:lang w:eastAsia="zh-CN"/>
              </w:rPr>
              <w:lastRenderedPageBreak/>
              <w:t xml:space="preserve">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等线" w:hAnsi="Times"/>
                <w:b/>
                <w:bCs/>
                <w:i/>
                <w:iCs/>
                <w:strike/>
                <w:color w:val="FF0000"/>
                <w:kern w:val="32"/>
                <w:sz w:val="24"/>
                <w:szCs w:val="24"/>
                <w:lang w:val="en-GB"/>
              </w:rPr>
            </w:pPr>
            <w:r w:rsidRPr="006707EA">
              <w:rPr>
                <w:rFonts w:ascii="Times" w:eastAsia="等线" w:hAnsi="Times"/>
                <w:b/>
                <w:bCs/>
                <w:i/>
                <w:iCs/>
                <w:strike/>
                <w:color w:val="FF0000"/>
                <w:kern w:val="32"/>
                <w:sz w:val="24"/>
                <w:szCs w:val="24"/>
                <w:u w:val="single"/>
                <w:lang w:val="en-GB" w:eastAsia="zh-CN"/>
              </w:rPr>
              <w:t>Proposed conclusion</w:t>
            </w:r>
            <w:r w:rsidRPr="006707EA">
              <w:rPr>
                <w:rFonts w:ascii="Times" w:eastAsia="等线" w:hAnsi="Times"/>
                <w:b/>
                <w:bCs/>
                <w:i/>
                <w:iCs/>
                <w:strike/>
                <w:color w:val="FF0000"/>
                <w:kern w:val="32"/>
                <w:sz w:val="24"/>
                <w:szCs w:val="24"/>
                <w:lang w:val="en-GB" w:eastAsia="zh-CN"/>
              </w:rPr>
              <w:t xml:space="preserve">: </w:t>
            </w:r>
            <w:r w:rsidRPr="006707EA">
              <w:rPr>
                <w:rFonts w:ascii="Times" w:eastAsia="等线"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等线" w:hAnsi="Times"/>
                <w:b/>
                <w:bCs/>
                <w:i/>
                <w:iCs/>
                <w:kern w:val="32"/>
                <w:sz w:val="24"/>
                <w:szCs w:val="24"/>
                <w:u w:val="single"/>
                <w:lang w:val="en-GB" w:eastAsia="zh-CN"/>
              </w:rPr>
            </w:pPr>
          </w:p>
          <w:p w14:paraId="1E233B26" w14:textId="48A0E391" w:rsidR="00C25062" w:rsidRDefault="00C25062" w:rsidP="00C25062">
            <w:pPr>
              <w:rPr>
                <w:rFonts w:ascii="Times" w:eastAsia="等线" w:hAnsi="Times"/>
                <w:b/>
                <w:bCs/>
                <w:i/>
                <w:iCs/>
                <w:kern w:val="32"/>
                <w:sz w:val="24"/>
                <w:szCs w:val="24"/>
                <w:lang w:val="en-GB"/>
              </w:rPr>
            </w:pPr>
            <w:r>
              <w:rPr>
                <w:rFonts w:ascii="Times" w:eastAsia="等线" w:hAnsi="Times"/>
                <w:b/>
                <w:bCs/>
                <w:i/>
                <w:iCs/>
                <w:kern w:val="32"/>
                <w:sz w:val="24"/>
                <w:szCs w:val="24"/>
                <w:u w:val="single"/>
                <w:lang w:val="en-GB" w:eastAsia="zh-CN"/>
              </w:rPr>
              <w:t>Proposed conclusion</w:t>
            </w:r>
            <w:r>
              <w:rPr>
                <w:rFonts w:ascii="Times" w:eastAsia="等线" w:hAnsi="Times"/>
                <w:b/>
                <w:bCs/>
                <w:i/>
                <w:iCs/>
                <w:kern w:val="32"/>
                <w:sz w:val="24"/>
                <w:szCs w:val="24"/>
                <w:lang w:val="en-GB" w:eastAsia="zh-CN"/>
              </w:rPr>
              <w:t xml:space="preserve">: </w:t>
            </w:r>
            <w:r>
              <w:rPr>
                <w:rFonts w:ascii="Times" w:eastAsia="等线" w:hAnsi="Times"/>
                <w:b/>
                <w:bCs/>
                <w:i/>
                <w:iCs/>
                <w:kern w:val="32"/>
                <w:sz w:val="24"/>
                <w:szCs w:val="24"/>
                <w:lang w:val="en-GB"/>
              </w:rPr>
              <w:t xml:space="preserve">When 3 BDs are supported and configured, it implies </w:t>
            </w:r>
            <w:r w:rsidRPr="00C25062">
              <w:rPr>
                <w:rFonts w:ascii="Times" w:eastAsia="等线" w:hAnsi="Times"/>
                <w:b/>
                <w:bCs/>
                <w:i/>
                <w:iCs/>
                <w:kern w:val="32"/>
                <w:sz w:val="24"/>
                <w:szCs w:val="24"/>
                <w:highlight w:val="yellow"/>
                <w:lang w:val="en-GB"/>
              </w:rPr>
              <w:t>UE performs both soft combining</w:t>
            </w:r>
            <w:r>
              <w:rPr>
                <w:rFonts w:ascii="Times" w:eastAsia="等线"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r w:rsidR="00F413F5">
              <w:rPr>
                <w:sz w:val="20"/>
                <w:szCs w:val="20"/>
                <w:lang w:eastAsia="zh-CN"/>
              </w:rPr>
              <w:t xml:space="preserve">for 2 BDs and 3BDs, higher UE processing capability is required for 2BDs.Then, if UE reports 3BDs, and </w:t>
            </w:r>
            <w:proofErr w:type="spellStart"/>
            <w:r w:rsidR="00F413F5">
              <w:rPr>
                <w:sz w:val="20"/>
                <w:szCs w:val="20"/>
                <w:lang w:eastAsia="zh-CN"/>
              </w:rPr>
              <w:t>gNB</w:t>
            </w:r>
            <w:proofErr w:type="spellEnd"/>
            <w:r w:rsidR="00F413F5">
              <w:rPr>
                <w:sz w:val="20"/>
                <w:szCs w:val="20"/>
                <w:lang w:eastAsia="zh-CN"/>
              </w:rPr>
              <w:t xml:space="preserve"> not configures, why 2BDs is default.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r w:rsidR="00FC6985" w14:paraId="0105820B" w14:textId="77777777" w:rsidTr="00291C2A">
        <w:tc>
          <w:tcPr>
            <w:tcW w:w="1795" w:type="dxa"/>
          </w:tcPr>
          <w:p w14:paraId="07BF5313" w14:textId="76BAFA3A" w:rsidR="00FC6985" w:rsidRDefault="00FC6985" w:rsidP="00AD7518">
            <w:pPr>
              <w:autoSpaceDE w:val="0"/>
              <w:autoSpaceDN w:val="0"/>
              <w:adjustRightInd w:val="0"/>
              <w:snapToGrid w:val="0"/>
              <w:rPr>
                <w:sz w:val="20"/>
                <w:szCs w:val="20"/>
                <w:lang w:eastAsia="zh-CN"/>
              </w:rPr>
            </w:pPr>
            <w:r>
              <w:rPr>
                <w:sz w:val="20"/>
                <w:szCs w:val="20"/>
                <w:lang w:eastAsia="zh-CN"/>
              </w:rPr>
              <w:t>CMCC</w:t>
            </w:r>
          </w:p>
        </w:tc>
        <w:tc>
          <w:tcPr>
            <w:tcW w:w="7070" w:type="dxa"/>
          </w:tcPr>
          <w:p w14:paraId="76071494" w14:textId="77777777" w:rsidR="00FC6985" w:rsidRDefault="00FC6985" w:rsidP="00AD7518">
            <w:pPr>
              <w:rPr>
                <w:sz w:val="20"/>
                <w:szCs w:val="20"/>
                <w:lang w:eastAsia="zh-CN"/>
              </w:rPr>
            </w:pPr>
            <w:r>
              <w:rPr>
                <w:sz w:val="20"/>
                <w:szCs w:val="20"/>
                <w:lang w:eastAsia="zh-CN"/>
              </w:rPr>
              <w:t>Support the Proposal 4.</w:t>
            </w:r>
          </w:p>
          <w:p w14:paraId="51E2B34D" w14:textId="644E91F4" w:rsidR="00FC6985" w:rsidRDefault="00FC6985" w:rsidP="00AD7518">
            <w:pPr>
              <w:rPr>
                <w:rFonts w:hint="eastAsia"/>
                <w:sz w:val="20"/>
                <w:szCs w:val="20"/>
                <w:lang w:eastAsia="zh-CN"/>
              </w:rPr>
            </w:pPr>
            <w:r>
              <w:rPr>
                <w:rFonts w:hint="eastAsia"/>
                <w:sz w:val="20"/>
                <w:szCs w:val="20"/>
                <w:lang w:eastAsia="zh-CN"/>
              </w:rPr>
              <w:t>N</w:t>
            </w:r>
            <w:r>
              <w:rPr>
                <w:sz w:val="20"/>
                <w:szCs w:val="20"/>
                <w:lang w:eastAsia="zh-CN"/>
              </w:rPr>
              <w:t>ot support the conclusion since it is unnecessary.</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lastRenderedPageBreak/>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lastRenderedPageBreak/>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lastRenderedPageBreak/>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 xml:space="preserve">Alt1-1: The third BD is counted as a virtual SS set (i.e., the virtual SS set for the third BDs is </w:t>
      </w:r>
      <w:proofErr w:type="spellStart"/>
      <w:r>
        <w:rPr>
          <w:rFonts w:hint="eastAsia"/>
          <w:b/>
          <w:bCs/>
          <w:i/>
          <w:iCs/>
          <w:sz w:val="22"/>
          <w:szCs w:val="22"/>
          <w:lang w:val="en-GB"/>
        </w:rPr>
        <w:t>dopped</w:t>
      </w:r>
      <w:proofErr w:type="spellEnd"/>
      <w:r>
        <w:rPr>
          <w:rFonts w:hint="eastAsia"/>
          <w:b/>
          <w:bCs/>
          <w:i/>
          <w:iCs/>
          <w:sz w:val="22"/>
          <w:szCs w:val="22"/>
          <w:lang w:val="en-GB"/>
        </w:rPr>
        <w:t xml:space="preserve">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af7"/>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af7"/>
        <w:numPr>
          <w:ilvl w:val="0"/>
          <w:numId w:val="12"/>
        </w:numPr>
        <w:ind w:firstLineChars="0"/>
        <w:rPr>
          <w:b/>
          <w:bCs/>
          <w:sz w:val="22"/>
          <w:szCs w:val="22"/>
          <w:lang w:val="de-DE" w:eastAsia="zh-CN"/>
        </w:rPr>
      </w:pPr>
      <w:r w:rsidRPr="004C5DC1">
        <w:rPr>
          <w:b/>
          <w:bCs/>
          <w:sz w:val="22"/>
          <w:szCs w:val="22"/>
          <w:lang w:val="de-DE"/>
        </w:rPr>
        <w:lastRenderedPageBreak/>
        <w:t>Alt 2: NTT Docomo, MediaTek, QC, Fujitsu, Samsung, CATT, Nokia/NSB, CMCC, Huawei/HiSilicon, TCL, Futurewei, Intel</w:t>
      </w:r>
    </w:p>
    <w:p w14:paraId="0DB5C3F0" w14:textId="77777777" w:rsidR="006B608F" w:rsidRPr="004C5DC1" w:rsidRDefault="00F93CD5">
      <w:pPr>
        <w:pStyle w:val="af7"/>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lastRenderedPageBreak/>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af7"/>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w:t>
            </w:r>
            <w:proofErr w:type="gramStart"/>
            <w:r>
              <w:rPr>
                <w:rFonts w:hint="eastAsia"/>
                <w:b/>
                <w:i/>
                <w:iCs/>
                <w:color w:val="FF0000"/>
                <w:lang w:val="en-GB" w:eastAsia="ko-KR"/>
              </w:rPr>
              <w:t>&gt;</w:t>
            </w:r>
            <w:r>
              <w:rPr>
                <w:b/>
                <w:i/>
                <w:iCs/>
                <w:color w:val="FF0000"/>
                <w:lang w:val="en-GB" w:eastAsia="ko-KR"/>
              </w:rPr>
              <w:t xml:space="preserve"> </w:t>
            </w:r>
            <w:r>
              <w:rPr>
                <w:rFonts w:hint="eastAsia"/>
                <w:b/>
                <w:i/>
                <w:iCs/>
                <w:color w:val="FF0000"/>
                <w:lang w:val="en-GB" w:eastAsia="ko-KR"/>
              </w:rPr>
              <w:t xml:space="preserve"> linkage</w:t>
            </w:r>
            <w:proofErr w:type="gramEnd"/>
            <w:r>
              <w:rPr>
                <w:rFonts w:hint="eastAsia"/>
                <w:b/>
                <w:i/>
                <w:iCs/>
                <w:color w:val="FF0000"/>
                <w:lang w:val="en-GB" w:eastAsia="ko-KR"/>
              </w:rPr>
              <w:t xml:space="preserv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two QCL-</w:t>
            </w:r>
            <w:proofErr w:type="spellStart"/>
            <w:r>
              <w:rPr>
                <w:rFonts w:ascii="Times" w:eastAsia="等线" w:hAnsi="Times"/>
                <w:bCs/>
                <w:iCs/>
                <w:kern w:val="32"/>
                <w:sz w:val="20"/>
                <w:szCs w:val="20"/>
                <w:lang w:val="en-GB" w:eastAsia="zh-CN"/>
              </w:rPr>
              <w:t>TypeD</w:t>
            </w:r>
            <w:proofErr w:type="spellEnd"/>
            <w:r>
              <w:rPr>
                <w:rFonts w:ascii="Times" w:eastAsia="等线" w:hAnsi="Times"/>
                <w:bCs/>
                <w:iCs/>
                <w:kern w:val="32"/>
                <w:sz w:val="20"/>
                <w:szCs w:val="20"/>
                <w:lang w:val="en-GB" w:eastAsia="zh-CN"/>
              </w:rPr>
              <w:t xml:space="preserve"> properties for multiple overlapping CORESETs) is used, i.e., </w:t>
            </w:r>
            <w:r>
              <w:rPr>
                <w:rFonts w:ascii="Times" w:eastAsia="等线" w:hAnsi="Times"/>
                <w:b/>
                <w:bCs/>
                <w:iCs/>
                <w:kern w:val="32"/>
                <w:sz w:val="20"/>
                <w:szCs w:val="20"/>
                <w:lang w:val="en-GB" w:eastAsia="zh-CN"/>
              </w:rPr>
              <w:t>when the number of monitored QCL-</w:t>
            </w:r>
            <w:proofErr w:type="spellStart"/>
            <w:r>
              <w:rPr>
                <w:rFonts w:ascii="Times" w:eastAsia="等线" w:hAnsi="Times"/>
                <w:b/>
                <w:bCs/>
                <w:iCs/>
                <w:kern w:val="32"/>
                <w:sz w:val="20"/>
                <w:szCs w:val="20"/>
                <w:lang w:val="en-GB" w:eastAsia="zh-CN"/>
              </w:rPr>
              <w:t>TypeD</w:t>
            </w:r>
            <w:proofErr w:type="spellEnd"/>
            <w:r>
              <w:rPr>
                <w:rFonts w:ascii="Times" w:eastAsia="等线" w:hAnsi="Times"/>
                <w:b/>
                <w:bCs/>
                <w:iCs/>
                <w:kern w:val="32"/>
                <w:sz w:val="20"/>
                <w:szCs w:val="20"/>
                <w:lang w:val="en-GB" w:eastAsia="zh-CN"/>
              </w:rPr>
              <w:t xml:space="preserve">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w:t>
            </w:r>
            <w:r>
              <w:rPr>
                <w:rFonts w:asciiTheme="majorBidi" w:hAnsiTheme="majorBidi" w:cstheme="majorBidi"/>
                <w:color w:val="000000" w:themeColor="text1"/>
                <w:sz w:val="20"/>
                <w:szCs w:val="20"/>
                <w:lang w:eastAsia="zh-CN"/>
              </w:rPr>
              <w:lastRenderedPageBreak/>
              <w:t xml:space="preserve">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 xml:space="preserve">prefer Alt2. We also share the similar view to remove Alt 1, as there would be problem for </w:t>
            </w:r>
            <w:proofErr w:type="spellStart"/>
            <w:r>
              <w:rPr>
                <w:rFonts w:eastAsia="PMingLiU"/>
                <w:sz w:val="20"/>
                <w:szCs w:val="20"/>
                <w:lang w:eastAsia="zh-TW"/>
              </w:rPr>
              <w:t>U</w:t>
            </w:r>
            <w:r w:rsidR="00795168">
              <w:rPr>
                <w:rFonts w:eastAsia="PMingLiU"/>
                <w:sz w:val="20"/>
                <w:szCs w:val="20"/>
                <w:lang w:eastAsia="zh-TW"/>
              </w:rPr>
              <w:t>e</w:t>
            </w:r>
            <w:r>
              <w:rPr>
                <w:rFonts w:eastAsia="PMingLiU"/>
                <w:sz w:val="20"/>
                <w:szCs w:val="20"/>
                <w:lang w:eastAsia="zh-TW"/>
              </w:rPr>
              <w:t>s</w:t>
            </w:r>
            <w:proofErr w:type="spellEnd"/>
            <w:r>
              <w:rPr>
                <w:rFonts w:eastAsia="PMingLiU"/>
                <w:sz w:val="20"/>
                <w:szCs w:val="20"/>
                <w:lang w:eastAsia="zh-TW"/>
              </w:rPr>
              <w:t xml:space="preserve">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lastRenderedPageBreak/>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 xml:space="preserve">Priority order: SS type (USS/CSS) </w:t>
      </w:r>
      <w:proofErr w:type="gramStart"/>
      <w:r>
        <w:rPr>
          <w:b/>
          <w:i/>
          <w:iCs/>
          <w:color w:val="0070C0"/>
          <w:lang w:val="en-GB" w:eastAsia="ko-KR"/>
        </w:rPr>
        <w:t>&gt;  linkage</w:t>
      </w:r>
      <w:proofErr w:type="gramEnd"/>
      <w:r>
        <w:rPr>
          <w:b/>
          <w:i/>
          <w:iCs/>
          <w:color w:val="0070C0"/>
          <w:lang w:val="en-GB" w:eastAsia="ko-KR"/>
        </w:rPr>
        <w:t xml:space="preserv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等线"/>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r w:rsidR="00FC6985" w14:paraId="5657078F" w14:textId="77777777" w:rsidTr="00291C2A">
        <w:tc>
          <w:tcPr>
            <w:tcW w:w="1795" w:type="dxa"/>
          </w:tcPr>
          <w:p w14:paraId="1835D6E3" w14:textId="4964A3D9" w:rsidR="00FC6985" w:rsidRDefault="00FC6985" w:rsidP="00AD7518">
            <w:pPr>
              <w:autoSpaceDE w:val="0"/>
              <w:autoSpaceDN w:val="0"/>
              <w:adjustRightInd w:val="0"/>
              <w:snapToGrid w:val="0"/>
              <w:rPr>
                <w:rFonts w:hint="eastAsia"/>
                <w:sz w:val="20"/>
                <w:szCs w:val="20"/>
                <w:lang w:eastAsia="zh-CN"/>
              </w:rPr>
            </w:pPr>
            <w:r>
              <w:rPr>
                <w:rFonts w:hint="eastAsia"/>
                <w:sz w:val="20"/>
                <w:szCs w:val="20"/>
                <w:lang w:eastAsia="zh-CN"/>
              </w:rPr>
              <w:t>C</w:t>
            </w:r>
            <w:r>
              <w:rPr>
                <w:sz w:val="20"/>
                <w:szCs w:val="20"/>
                <w:lang w:eastAsia="zh-CN"/>
              </w:rPr>
              <w:t>MCC</w:t>
            </w:r>
          </w:p>
        </w:tc>
        <w:tc>
          <w:tcPr>
            <w:tcW w:w="7070" w:type="dxa"/>
          </w:tcPr>
          <w:p w14:paraId="64817AF5" w14:textId="428E7B06" w:rsidR="00FC6985" w:rsidRDefault="00FC6985" w:rsidP="00A453ED">
            <w:pPr>
              <w:rPr>
                <w:rFonts w:hint="eastAsia"/>
                <w:sz w:val="20"/>
                <w:szCs w:val="20"/>
                <w:lang w:eastAsia="zh-CN"/>
              </w:rPr>
            </w:pPr>
            <w:r>
              <w:rPr>
                <w:rFonts w:hint="eastAsia"/>
                <w:sz w:val="20"/>
                <w:szCs w:val="20"/>
                <w:lang w:eastAsia="zh-CN"/>
              </w:rPr>
              <w:t>S</w:t>
            </w:r>
            <w:r>
              <w:rPr>
                <w:sz w:val="20"/>
                <w:szCs w:val="20"/>
                <w:lang w:eastAsia="zh-CN"/>
              </w:rPr>
              <w:t>upport</w:t>
            </w:r>
            <w:r>
              <w:rPr>
                <w:sz w:val="20"/>
                <w:szCs w:val="20"/>
                <w:lang w:eastAsia="zh-CN"/>
              </w:rPr>
              <w: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proofErr w:type="spellStart"/>
      <w:r>
        <w:rPr>
          <w:rFonts w:ascii="Calibri" w:eastAsia="Batang" w:hAnsi="Calibri" w:cs="Calibri"/>
          <w:b/>
          <w:bCs/>
          <w:sz w:val="28"/>
        </w:rPr>
        <w:lastRenderedPageBreak/>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w:t>
            </w:r>
            <w:proofErr w:type="gramStart"/>
            <w:r>
              <w:rPr>
                <w:sz w:val="20"/>
                <w:szCs w:val="20"/>
                <w:lang w:eastAsia="zh-CN"/>
              </w:rPr>
              <w:t xml:space="preserve">same  </w:t>
            </w:r>
            <w:proofErr w:type="spellStart"/>
            <w:r>
              <w:rPr>
                <w:sz w:val="20"/>
                <w:szCs w:val="20"/>
                <w:lang w:eastAsia="zh-CN"/>
              </w:rPr>
              <w:t>CORESETPoolIndex</w:t>
            </w:r>
            <w:proofErr w:type="spellEnd"/>
            <w:proofErr w:type="gram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lastRenderedPageBreak/>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 xml:space="preserve">Support FL’s </w:t>
            </w:r>
            <w:proofErr w:type="gramStart"/>
            <w:r>
              <w:rPr>
                <w:sz w:val="20"/>
                <w:szCs w:val="20"/>
                <w:lang w:eastAsia="zh-CN"/>
              </w:rPr>
              <w:t>proposal(</w:t>
            </w:r>
            <w:proofErr w:type="gramEnd"/>
            <w:r>
              <w:rPr>
                <w:sz w:val="20"/>
                <w:szCs w:val="20"/>
                <w:lang w:eastAsia="zh-CN"/>
              </w:rPr>
              <w:t>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r w:rsidR="00FC6985" w14:paraId="7740B3EB" w14:textId="77777777" w:rsidTr="00F90F0E">
        <w:tc>
          <w:tcPr>
            <w:tcW w:w="1795" w:type="dxa"/>
          </w:tcPr>
          <w:p w14:paraId="0938B92D" w14:textId="620E88C0" w:rsidR="00FC6985" w:rsidRDefault="00FC6985" w:rsidP="00AD7518">
            <w:pPr>
              <w:autoSpaceDE w:val="0"/>
              <w:autoSpaceDN w:val="0"/>
              <w:adjustRightInd w:val="0"/>
              <w:snapToGrid w:val="0"/>
              <w:rPr>
                <w:rFonts w:hint="eastAsia"/>
                <w:sz w:val="20"/>
                <w:szCs w:val="20"/>
                <w:lang w:eastAsia="zh-CN"/>
              </w:rPr>
            </w:pPr>
            <w:r>
              <w:rPr>
                <w:rFonts w:hint="eastAsia"/>
                <w:sz w:val="20"/>
                <w:szCs w:val="20"/>
                <w:lang w:eastAsia="zh-CN"/>
              </w:rPr>
              <w:t>C</w:t>
            </w:r>
            <w:r>
              <w:rPr>
                <w:sz w:val="20"/>
                <w:szCs w:val="20"/>
                <w:lang w:eastAsia="zh-CN"/>
              </w:rPr>
              <w:t>MCC</w:t>
            </w:r>
          </w:p>
        </w:tc>
        <w:tc>
          <w:tcPr>
            <w:tcW w:w="7070" w:type="dxa"/>
          </w:tcPr>
          <w:p w14:paraId="60249A4F" w14:textId="56F4DA4B" w:rsidR="00FC6985" w:rsidRDefault="00FC6985" w:rsidP="00AD7518">
            <w:pPr>
              <w:rPr>
                <w:rFonts w:hint="eastAsia"/>
                <w:sz w:val="20"/>
                <w:szCs w:val="20"/>
                <w:lang w:eastAsia="zh-CN"/>
              </w:rPr>
            </w:pPr>
            <w:r>
              <w:rPr>
                <w:rFonts w:hint="eastAsia"/>
                <w:sz w:val="20"/>
                <w:szCs w:val="20"/>
                <w:lang w:eastAsia="zh-CN"/>
              </w:rPr>
              <w:t>S</w:t>
            </w:r>
            <w:r>
              <w:rPr>
                <w:sz w:val="20"/>
                <w:szCs w:val="20"/>
                <w:lang w:eastAsia="zh-CN"/>
              </w:rPr>
              <w:t>upport</w:t>
            </w:r>
            <w:r>
              <w:rPr>
                <w:sz w:val="20"/>
                <w:szCs w:val="20"/>
                <w:lang w:eastAsia="zh-CN"/>
              </w:rPr>
              <w: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One pair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lastRenderedPageBreak/>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r w:rsidR="00FC6985" w14:paraId="6E3139ED" w14:textId="77777777" w:rsidTr="00C33DB7">
        <w:trPr>
          <w:trHeight w:val="273"/>
        </w:trPr>
        <w:tc>
          <w:tcPr>
            <w:tcW w:w="1795" w:type="dxa"/>
          </w:tcPr>
          <w:p w14:paraId="7BEE4A32" w14:textId="69C5DF41"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7FA16874" w14:textId="714DB00D" w:rsidR="00FC6985" w:rsidRDefault="00FC6985" w:rsidP="00AD7518">
            <w:pPr>
              <w:rPr>
                <w:rFonts w:hint="eastAsia"/>
                <w:sz w:val="20"/>
                <w:szCs w:val="20"/>
                <w:lang w:eastAsia="zh-CN"/>
              </w:rPr>
            </w:pPr>
            <w:r>
              <w:rPr>
                <w:rFonts w:hint="eastAsia"/>
                <w:sz w:val="20"/>
                <w:szCs w:val="20"/>
                <w:lang w:eastAsia="zh-CN"/>
              </w:rPr>
              <w:t>S</w:t>
            </w:r>
            <w:r>
              <w:rPr>
                <w:sz w:val="20"/>
                <w:szCs w:val="20"/>
                <w:lang w:eastAsia="zh-CN"/>
              </w:rPr>
              <w:t>upport</w:t>
            </w:r>
            <w:r>
              <w:rPr>
                <w:sz w:val="20"/>
                <w:szCs w:val="20"/>
                <w:lang w:eastAsia="zh-CN"/>
              </w:rPr>
              <w:t xml:space="preserve">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w:t>
            </w:r>
            <w:proofErr w:type="gramStart"/>
            <w:r w:rsidRPr="00FF2F2D">
              <w:rPr>
                <w:rFonts w:ascii="Calibri" w:hAnsi="Calibri" w:cs="Times"/>
                <w:bCs/>
                <w:iCs/>
                <w:szCs w:val="20"/>
                <w:highlight w:val="yellow"/>
                <w:lang w:eastAsia="zh-CN"/>
              </w:rPr>
              <w:t>FDM)</w:t>
            </w:r>
            <w:r w:rsidRPr="00725298">
              <w:rPr>
                <w:rFonts w:ascii="Calibri" w:hAnsi="Calibri" w:cs="Times"/>
                <w:bCs/>
                <w:iCs/>
                <w:szCs w:val="20"/>
                <w:highlight w:val="yellow"/>
                <w:lang w:eastAsia="zh-CN"/>
              </w:rPr>
              <w:t>+</w:t>
            </w:r>
            <w:proofErr w:type="gramEnd"/>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proofErr w:type="gramStart"/>
            <w:r>
              <w:rPr>
                <w:sz w:val="20"/>
                <w:szCs w:val="20"/>
                <w:lang w:eastAsia="zh-CN"/>
              </w:rPr>
              <w:t>taken into account</w:t>
            </w:r>
            <w:proofErr w:type="gramEnd"/>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af7"/>
              <w:numPr>
                <w:ilvl w:val="1"/>
                <w:numId w:val="16"/>
              </w:numPr>
              <w:ind w:firstLineChars="0"/>
              <w:rPr>
                <w:rFonts w:ascii="Calibri" w:eastAsia="宋体" w:hAnsi="Calibri" w:cs="Times"/>
                <w:bCs/>
                <w:iCs/>
                <w:szCs w:val="20"/>
                <w:lang w:val="en-US" w:eastAsia="zh-CN"/>
              </w:rPr>
            </w:pPr>
            <w:r w:rsidRPr="002E20B3">
              <w:rPr>
                <w:rFonts w:ascii="Calibri" w:eastAsia="宋体" w:hAnsi="Calibri" w:cs="Times"/>
                <w:bCs/>
                <w:iCs/>
                <w:szCs w:val="20"/>
                <w:highlight w:val="yellow"/>
                <w:lang w:val="en-US" w:eastAsia="zh-CN"/>
              </w:rPr>
              <w:t>Alt 3</w:t>
            </w:r>
            <w:r w:rsidRPr="002E20B3">
              <w:rPr>
                <w:rFonts w:ascii="Calibri" w:eastAsia="宋体" w:hAnsi="Calibri" w:cs="Times"/>
                <w:bCs/>
                <w:iCs/>
                <w:szCs w:val="20"/>
                <w:lang w:val="en-US" w:eastAsia="zh-CN"/>
              </w:rPr>
              <w:t>+</w:t>
            </w:r>
            <w:r w:rsidRPr="002E20B3">
              <w:rPr>
                <w:rFonts w:ascii="Calibri" w:eastAsia="宋体"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宋体" w:hAnsi="Calibri" w:cs="Times"/>
                <w:bCs/>
                <w:iCs/>
                <w:szCs w:val="20"/>
                <w:lang w:val="en-US" w:eastAsia="zh-CN"/>
              </w:rPr>
              <w:t xml:space="preserve"> + </w:t>
            </w:r>
            <w:r w:rsidRPr="00725298">
              <w:rPr>
                <w:rFonts w:ascii="Calibri" w:eastAsia="宋体" w:hAnsi="Calibri" w:cs="Times"/>
                <w:bCs/>
                <w:iCs/>
                <w:szCs w:val="20"/>
                <w:highlight w:val="cyan"/>
                <w:lang w:val="en-US" w:eastAsia="zh-CN"/>
              </w:rPr>
              <w:t>explicit or implicit linkage</w:t>
            </w:r>
          </w:p>
          <w:p w14:paraId="1E8572F0" w14:textId="77777777" w:rsidR="005B15F1" w:rsidRPr="002E20B3" w:rsidRDefault="005B15F1" w:rsidP="004C5DC1">
            <w:pPr>
              <w:pStyle w:val="af7"/>
              <w:numPr>
                <w:ilvl w:val="1"/>
                <w:numId w:val="16"/>
              </w:numPr>
              <w:ind w:firstLineChars="0"/>
              <w:rPr>
                <w:rFonts w:eastAsia="宋体"/>
                <w:sz w:val="20"/>
                <w:szCs w:val="20"/>
                <w:lang w:val="en-US" w:eastAsia="zh-CN"/>
              </w:rPr>
            </w:pPr>
            <w:r w:rsidRPr="002E20B3">
              <w:rPr>
                <w:rFonts w:eastAsia="宋体"/>
                <w:sz w:val="20"/>
                <w:szCs w:val="20"/>
                <w:highlight w:val="cyan"/>
                <w:lang w:val="en-US" w:eastAsia="zh-CN"/>
              </w:rPr>
              <w:t>Alt 1</w:t>
            </w:r>
            <w:r>
              <w:rPr>
                <w:rFonts w:eastAsia="宋体"/>
                <w:sz w:val="20"/>
                <w:szCs w:val="20"/>
                <w:highlight w:val="cyan"/>
                <w:lang w:val="en-US" w:eastAsia="zh-CN"/>
              </w:rPr>
              <w:t>-2/1-3</w:t>
            </w:r>
            <w:r w:rsidRPr="002E20B3">
              <w:rPr>
                <w:rFonts w:eastAsia="宋体"/>
                <w:sz w:val="20"/>
                <w:szCs w:val="20"/>
                <w:highlight w:val="cyan"/>
                <w:lang w:val="en-US" w:eastAsia="zh-CN"/>
              </w:rPr>
              <w:t xml:space="preserve">: One CORESET with two active TCI states+ </w:t>
            </w:r>
            <w:r>
              <w:rPr>
                <w:rFonts w:eastAsia="宋体"/>
                <w:sz w:val="20"/>
                <w:szCs w:val="20"/>
                <w:highlight w:val="cyan"/>
                <w:lang w:val="en-US" w:eastAsia="zh-CN"/>
              </w:rPr>
              <w:t>(</w:t>
            </w:r>
            <w:r w:rsidRPr="002E20B3">
              <w:rPr>
                <w:rFonts w:ascii="Calibri" w:eastAsia="宋体" w:hAnsi="Calibri" w:cs="Times"/>
                <w:bCs/>
                <w:iCs/>
                <w:szCs w:val="20"/>
                <w:highlight w:val="cyan"/>
                <w:lang w:val="en-US" w:eastAsia="zh-CN"/>
              </w:rPr>
              <w:t>Option 2 (repetition)</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or</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Option 3 (multi-</w:t>
            </w:r>
            <w:proofErr w:type="gramStart"/>
            <w:r w:rsidRPr="002E20B3">
              <w:rPr>
                <w:rFonts w:ascii="Calibri" w:eastAsia="宋体" w:hAnsi="Calibri" w:cs="Times"/>
                <w:bCs/>
                <w:iCs/>
                <w:szCs w:val="20"/>
                <w:highlight w:val="cyan"/>
                <w:lang w:val="en-US" w:eastAsia="zh-CN"/>
              </w:rPr>
              <w:t>chance)</w:t>
            </w:r>
            <w:r>
              <w:rPr>
                <w:rFonts w:ascii="Calibri" w:eastAsia="宋体" w:hAnsi="Calibri" w:cs="Times"/>
                <w:bCs/>
                <w:iCs/>
                <w:szCs w:val="20"/>
                <w:lang w:val="en-US" w:eastAsia="zh-CN"/>
              </w:rPr>
              <w:t>+</w:t>
            </w:r>
            <w:proofErr w:type="gramEnd"/>
            <w:r>
              <w:rPr>
                <w:rFonts w:ascii="Calibri" w:eastAsia="宋体" w:hAnsi="Calibri" w:cs="Times"/>
                <w:bCs/>
                <w:iCs/>
                <w:szCs w:val="20"/>
                <w:lang w:val="en-US" w:eastAsia="zh-CN"/>
              </w:rPr>
              <w:t xml:space="preserve"> </w:t>
            </w:r>
            <w:r w:rsidRPr="00725298">
              <w:rPr>
                <w:rFonts w:ascii="Calibri" w:eastAsia="宋体" w:hAnsi="Calibri" w:cs="Times"/>
                <w:bCs/>
                <w:iCs/>
                <w:szCs w:val="20"/>
                <w:highlight w:val="cyan"/>
                <w:lang w:val="en-US" w:eastAsia="zh-CN"/>
              </w:rPr>
              <w:t>explicit or implicit linkage</w:t>
            </w:r>
            <w:r>
              <w:rPr>
                <w:rFonts w:ascii="Calibri" w:eastAsia="宋体"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same PDCCH associated with two different beams, the probability of simultaneous same beam of these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 xml:space="preserve">or example, maybe UE1 has same beam with UE2, UE3 in first TRP, while UE1 has same beam with UE3, UE4 in second TRP. The signaling carried for UE1 in each PDCCH candidate is same but other signaling for other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r w:rsidR="00FC6985" w14:paraId="5335B54F" w14:textId="77777777" w:rsidTr="00F90F0E">
        <w:tc>
          <w:tcPr>
            <w:tcW w:w="1795" w:type="dxa"/>
          </w:tcPr>
          <w:p w14:paraId="7A30CB5B" w14:textId="432E89D7" w:rsidR="00FC6985" w:rsidRDefault="00FC6985" w:rsidP="00C06A7D">
            <w:pPr>
              <w:autoSpaceDE w:val="0"/>
              <w:autoSpaceDN w:val="0"/>
              <w:adjustRightInd w:val="0"/>
              <w:snapToGrid w:val="0"/>
              <w:rPr>
                <w:rFonts w:hint="eastAsia"/>
                <w:sz w:val="20"/>
                <w:szCs w:val="20"/>
                <w:lang w:eastAsia="zh-CN"/>
              </w:rPr>
            </w:pPr>
            <w:r>
              <w:rPr>
                <w:rFonts w:hint="eastAsia"/>
                <w:sz w:val="20"/>
                <w:szCs w:val="20"/>
                <w:lang w:eastAsia="zh-CN"/>
              </w:rPr>
              <w:t>C</w:t>
            </w:r>
            <w:r>
              <w:rPr>
                <w:sz w:val="20"/>
                <w:szCs w:val="20"/>
                <w:lang w:eastAsia="zh-CN"/>
              </w:rPr>
              <w:t>MCC</w:t>
            </w:r>
          </w:p>
        </w:tc>
        <w:tc>
          <w:tcPr>
            <w:tcW w:w="7070" w:type="dxa"/>
          </w:tcPr>
          <w:p w14:paraId="3CF662B6" w14:textId="0B3A4E43" w:rsidR="00FC6985" w:rsidRDefault="00FC6985" w:rsidP="00C06A7D">
            <w:pPr>
              <w:rPr>
                <w:rFonts w:hint="eastAsia"/>
                <w:sz w:val="20"/>
                <w:szCs w:val="20"/>
                <w:lang w:eastAsia="zh-CN"/>
              </w:rPr>
            </w:pPr>
            <w:r>
              <w:rPr>
                <w:rFonts w:hint="eastAsia"/>
                <w:sz w:val="20"/>
                <w:szCs w:val="20"/>
                <w:lang w:eastAsia="zh-CN"/>
              </w:rPr>
              <w:t>S</w:t>
            </w:r>
            <w:r>
              <w:rPr>
                <w:sz w:val="20"/>
                <w:szCs w:val="20"/>
                <w:lang w:eastAsia="zh-CN"/>
              </w:rPr>
              <w:t>upport</w:t>
            </w:r>
            <w:r>
              <w:rPr>
                <w:sz w:val="20"/>
                <w:szCs w:val="20"/>
                <w:lang w:eastAsia="zh-CN"/>
              </w:rPr>
              <w:t xml:space="preserve"> the proposal and also ok with LG’s version.</w:t>
            </w:r>
            <w:bookmarkStart w:id="5" w:name="_GoBack"/>
            <w:bookmarkEnd w:id="5"/>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w:t>
      </w:r>
      <w:r>
        <w:rPr>
          <w:rFonts w:ascii="Times New Roman" w:hAnsi="Times New Roman" w:cs="Times New Roman"/>
          <w:lang w:eastAsia="zh-CN"/>
        </w:rPr>
        <w:lastRenderedPageBreak/>
        <w:t xml:space="preserve">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lastRenderedPageBreak/>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9CCC" w14:textId="77777777" w:rsidR="00EE0F3B" w:rsidRDefault="00EE0F3B" w:rsidP="00B5106A">
      <w:pPr>
        <w:spacing w:after="0" w:line="240" w:lineRule="auto"/>
      </w:pPr>
      <w:r>
        <w:separator/>
      </w:r>
    </w:p>
  </w:endnote>
  <w:endnote w:type="continuationSeparator" w:id="0">
    <w:p w14:paraId="60CBD718" w14:textId="77777777" w:rsidR="00EE0F3B" w:rsidRDefault="00EE0F3B"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E55F" w14:textId="77777777" w:rsidR="00EE0F3B" w:rsidRDefault="00EE0F3B" w:rsidP="00B5106A">
      <w:pPr>
        <w:spacing w:after="0" w:line="240" w:lineRule="auto"/>
      </w:pPr>
      <w:r>
        <w:separator/>
      </w:r>
    </w:p>
  </w:footnote>
  <w:footnote w:type="continuationSeparator" w:id="0">
    <w:p w14:paraId="74F81A96" w14:textId="77777777" w:rsidR="00EE0F3B" w:rsidRDefault="00EE0F3B"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0E12"/>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0F3B"/>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165"/>
    <w:rsid w:val="00FC343B"/>
    <w:rsid w:val="00FC363D"/>
    <w:rsid w:val="00FC3696"/>
    <w:rsid w:val="00FC38E3"/>
    <w:rsid w:val="00FC3A67"/>
    <w:rsid w:val="00FC3A9F"/>
    <w:rsid w:val="00FC4998"/>
    <w:rsid w:val="00FC4F8D"/>
    <w:rsid w:val="00FC5306"/>
    <w:rsid w:val="00FC6239"/>
    <w:rsid w:val="00FC6985"/>
    <w:rsid w:val="00FC74C5"/>
    <w:rsid w:val="00FC7EDE"/>
    <w:rsid w:val="00FD00AB"/>
    <w:rsid w:val="00FD00FA"/>
    <w:rsid w:val="00FD0675"/>
    <w:rsid w:val="00FD1F32"/>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F7A"/>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TOC8">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TOC9">
    <w:name w:val="toc 9"/>
    <w:basedOn w:val="TOC8"/>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表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 w:type="table" w:customStyle="1" w:styleId="TableGrid621">
    <w:name w:val="Table Grid621"/>
    <w:basedOn w:val="a1"/>
    <w:uiPriority w:val="39"/>
    <w:qFormat/>
    <w:rsid w:val="00FD1F32"/>
    <w:pPr>
      <w:spacing w:after="0" w:line="240" w:lineRule="auto"/>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8847">
      <w:bodyDiv w:val="1"/>
      <w:marLeft w:val="0"/>
      <w:marRight w:val="0"/>
      <w:marTop w:val="0"/>
      <w:marBottom w:val="0"/>
      <w:divBdr>
        <w:top w:val="none" w:sz="0" w:space="0" w:color="auto"/>
        <w:left w:val="none" w:sz="0" w:space="0" w:color="auto"/>
        <w:bottom w:val="none" w:sz="0" w:space="0" w:color="auto"/>
        <w:right w:val="none" w:sz="0" w:space="0" w:color="auto"/>
      </w:divBdr>
    </w:div>
    <w:div w:id="1307316672">
      <w:bodyDiv w:val="1"/>
      <w:marLeft w:val="0"/>
      <w:marRight w:val="0"/>
      <w:marTop w:val="0"/>
      <w:marBottom w:val="0"/>
      <w:divBdr>
        <w:top w:val="none" w:sz="0" w:space="0" w:color="auto"/>
        <w:left w:val="none" w:sz="0" w:space="0" w:color="auto"/>
        <w:bottom w:val="none" w:sz="0" w:space="0" w:color="auto"/>
        <w:right w:val="none" w:sz="0" w:space="0" w:color="auto"/>
      </w:divBdr>
    </w:div>
    <w:div w:id="1749379781">
      <w:bodyDiv w:val="1"/>
      <w:marLeft w:val="0"/>
      <w:marRight w:val="0"/>
      <w:marTop w:val="0"/>
      <w:marBottom w:val="0"/>
      <w:divBdr>
        <w:top w:val="none" w:sz="0" w:space="0" w:color="auto"/>
        <w:left w:val="none" w:sz="0" w:space="0" w:color="auto"/>
        <w:bottom w:val="none" w:sz="0" w:space="0" w:color="auto"/>
        <w:right w:val="none" w:sz="0" w:space="0" w:color="auto"/>
      </w:divBdr>
    </w:div>
    <w:div w:id="180075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7.xml><?xml version="1.0" encoding="utf-8"?>
<ds:datastoreItem xmlns:ds="http://schemas.openxmlformats.org/officeDocument/2006/customXml" ds:itemID="{9C17748B-DE10-47B8-A004-6110D65E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39</Pages>
  <Words>12229</Words>
  <Characters>69711</Characters>
  <Application>Microsoft Office Word</Application>
  <DocSecurity>0</DocSecurity>
  <Lines>580</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CMCC</cp:lastModifiedBy>
  <cp:revision>11</cp:revision>
  <dcterms:created xsi:type="dcterms:W3CDTF">2021-08-20T16:46:00Z</dcterms:created>
  <dcterms:modified xsi:type="dcterms:W3CDTF">2021-08-23T01:09:00Z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