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bookmarkStart w:id="2" w:name="_GoBack"/>
      <w:bookmarkEnd w:id="2"/>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TW"/>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TW"/>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Option3: d1,1=3+2=5  (</w:t>
            </w:r>
            <w:r>
              <w:rPr>
                <w:rFonts w:eastAsia="SimSun"/>
                <w:sz w:val="20"/>
                <w:szCs w:val="20"/>
              </w:rPr>
              <w:t xml:space="preserve"> For UE capability 1</w:t>
            </w:r>
            <w:r>
              <w:rPr>
                <w:rFonts w:eastAsia="SimSun"/>
                <w:sz w:val="20"/>
                <w:szCs w:val="20"/>
                <w:lang w:val="en-US"/>
              </w:rPr>
              <w:t>)</w:t>
            </w:r>
          </w:p>
          <w:p w14:paraId="60E79E8C"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 4: d1,1=3+2*2=7 (</w:t>
            </w:r>
            <w:r>
              <w:rPr>
                <w:rFonts w:eastAsia="SimSun"/>
                <w:sz w:val="20"/>
                <w:szCs w:val="20"/>
              </w:rPr>
              <w:t xml:space="preserve"> For UE capability 1</w:t>
            </w:r>
            <w:r>
              <w:rPr>
                <w:rFonts w:eastAsia="SimSun"/>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新細明體"/>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新細明體"/>
                <w:lang w:eastAsia="zh-TW"/>
              </w:rPr>
            </w:pPr>
            <w:r>
              <w:rPr>
                <w:rFonts w:eastAsia="新細明體" w:hint="eastAsia"/>
                <w:lang w:eastAsia="zh-TW"/>
              </w:rPr>
              <w:t>Q</w:t>
            </w:r>
            <w:r>
              <w:rPr>
                <w:rFonts w:eastAsia="新細明體"/>
                <w:lang w:eastAsia="zh-TW"/>
              </w:rPr>
              <w:t>1: Prefer option 2</w:t>
            </w:r>
          </w:p>
          <w:p w14:paraId="38AC78E5" w14:textId="77777777" w:rsidR="0046016C" w:rsidRDefault="0046016C" w:rsidP="0046016C">
            <w:pPr>
              <w:autoSpaceDE w:val="0"/>
              <w:autoSpaceDN w:val="0"/>
              <w:adjustRightInd w:val="0"/>
              <w:snapToGrid w:val="0"/>
              <w:spacing w:after="120"/>
              <w:rPr>
                <w:rFonts w:eastAsia="新細明體"/>
                <w:lang w:eastAsia="zh-TW"/>
              </w:rPr>
            </w:pPr>
            <w:r>
              <w:rPr>
                <w:rFonts w:eastAsia="新細明體"/>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新細明體"/>
                <w:lang w:eastAsia="zh-TW"/>
              </w:rPr>
            </w:pPr>
            <w:r>
              <w:rPr>
                <w:rFonts w:eastAsia="新細明體" w:hint="eastAsia"/>
                <w:lang w:eastAsia="zh-TW"/>
              </w:rPr>
              <w:t>I</w:t>
            </w:r>
            <w:r>
              <w:rPr>
                <w:rFonts w:eastAsia="新細明體"/>
                <w:lang w:eastAsia="zh-TW"/>
              </w:rPr>
              <w:t>n our understanding,</w:t>
            </w:r>
            <w:r>
              <w:rPr>
                <w:rFonts w:eastAsia="新細明體" w:hint="eastAsia"/>
                <w:lang w:eastAsia="zh-TW"/>
              </w:rPr>
              <w:t xml:space="preserve"> </w:t>
            </w:r>
            <w:r>
              <w:rPr>
                <w:rFonts w:eastAsia="新細明體"/>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新細明體"/>
                <w:lang w:eastAsia="zh-TW"/>
              </w:rPr>
              <w:t xml:space="preserve">d = 2 (count each overlapping symbol as one) for option 3 </w:t>
            </w:r>
            <w:r w:rsidRPr="00E33461">
              <w:rPr>
                <w:rFonts w:eastAsia="新細明體"/>
                <w:lang w:eastAsia="zh-TW"/>
              </w:rPr>
              <w:sym w:font="Wingdings" w:char="F0E0"/>
            </w:r>
            <w:r>
              <w:rPr>
                <w:rFonts w:eastAsia="新細明體"/>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新細明體"/>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新細明體"/>
                <w:noProof/>
                <w:lang w:eastAsia="zh-TW"/>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新細明體"/>
                <w:noProof/>
                <w:lang w:eastAsia="zh-TW"/>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新細明體"/>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新細明體"/>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r>
              <w:rPr>
                <w:rFonts w:eastAsia="新細明體" w:hint="eastAsia"/>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TW"/>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80F85" w:rsidRPr="00694EE6" w:rsidRDefault="00180F85"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80F85" w:rsidRPr="00694EE6" w:rsidRDefault="00180F85"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TW"/>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5"/>
              <w:numPr>
                <w:ilvl w:val="0"/>
                <w:numId w:val="86"/>
              </w:numPr>
              <w:ind w:firstLineChars="0"/>
              <w:rPr>
                <w:rFonts w:eastAsia="SimSun"/>
                <w:sz w:val="20"/>
                <w:szCs w:val="20"/>
              </w:rPr>
            </w:pPr>
            <w:r>
              <w:rPr>
                <w:rFonts w:eastAsia="SimSun"/>
                <w:sz w:val="20"/>
                <w:szCs w:val="20"/>
                <w:lang w:val="en-US"/>
              </w:rPr>
              <w:t>Option 2 is more aligned with the existing R15/16 design principle</w:t>
            </w:r>
          </w:p>
          <w:p w14:paraId="22B74F09" w14:textId="77777777" w:rsidR="00D03B68" w:rsidRPr="00D03B68" w:rsidRDefault="00D03B68" w:rsidP="00D03B68">
            <w:pPr>
              <w:pStyle w:val="a5"/>
              <w:numPr>
                <w:ilvl w:val="0"/>
                <w:numId w:val="86"/>
              </w:numPr>
              <w:ind w:firstLineChars="0"/>
              <w:rPr>
                <w:rFonts w:eastAsia="SimSun"/>
                <w:sz w:val="20"/>
                <w:szCs w:val="20"/>
              </w:rPr>
            </w:pPr>
            <w:r>
              <w:rPr>
                <w:rFonts w:eastAsia="SimSun"/>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a5"/>
              <w:numPr>
                <w:ilvl w:val="0"/>
                <w:numId w:val="86"/>
              </w:numPr>
              <w:ind w:firstLineChars="0"/>
              <w:rPr>
                <w:rFonts w:eastAsia="SimSun"/>
                <w:sz w:val="20"/>
                <w:szCs w:val="20"/>
              </w:rPr>
            </w:pPr>
            <w:r w:rsidRPr="00D03B68">
              <w:rPr>
                <w:rFonts w:eastAsia="SimSun"/>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新細明體"/>
                <w:lang w:eastAsia="zh-TW"/>
              </w:rPr>
              <w:t>FGI/APT</w:t>
            </w:r>
          </w:p>
        </w:tc>
        <w:tc>
          <w:tcPr>
            <w:tcW w:w="7070" w:type="dxa"/>
          </w:tcPr>
          <w:p w14:paraId="2591AA11" w14:textId="77777777" w:rsidR="00570267" w:rsidRDefault="00570267" w:rsidP="00570267">
            <w:pPr>
              <w:rPr>
                <w:rFonts w:eastAsia="新細明體"/>
                <w:lang w:eastAsia="zh-TW"/>
              </w:rPr>
            </w:pPr>
            <w:r>
              <w:rPr>
                <w:rFonts w:eastAsia="新細明體" w:hint="eastAsia"/>
                <w:lang w:eastAsia="zh-TW"/>
              </w:rPr>
              <w:t>Q</w:t>
            </w:r>
            <w:r>
              <w:rPr>
                <w:rFonts w:eastAsia="新細明體"/>
                <w:lang w:eastAsia="zh-TW"/>
              </w:rPr>
              <w:t>1: Yes</w:t>
            </w:r>
          </w:p>
          <w:p w14:paraId="4C367388" w14:textId="60361BBA" w:rsidR="00570267" w:rsidRDefault="00570267" w:rsidP="00570267">
            <w:r>
              <w:rPr>
                <w:rFonts w:eastAsia="新細明體" w:hint="eastAsia"/>
                <w:lang w:eastAsia="zh-TW"/>
              </w:rPr>
              <w:t>Q</w:t>
            </w:r>
            <w:r>
              <w:rPr>
                <w:rFonts w:eastAsia="新細明體"/>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新細明體"/>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新細明體"/>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TW"/>
        </w:rPr>
        <w:lastRenderedPageBreak/>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80F85" w:rsidRPr="00F322BC" w:rsidRDefault="00180F85"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80F85" w:rsidRPr="00F322BC" w:rsidRDefault="00180F85"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a5"/>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lastRenderedPageBreak/>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lastRenderedPageBreak/>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新細明體" w:hint="eastAsia"/>
                <w:lang w:eastAsia="zh-TW"/>
              </w:rPr>
              <w:t>F</w:t>
            </w:r>
            <w:r>
              <w:rPr>
                <w:rFonts w:eastAsia="新細明體"/>
                <w:lang w:eastAsia="zh-TW"/>
              </w:rPr>
              <w:t>GI/APT</w:t>
            </w:r>
          </w:p>
        </w:tc>
        <w:tc>
          <w:tcPr>
            <w:tcW w:w="7070" w:type="dxa"/>
          </w:tcPr>
          <w:p w14:paraId="08816CE6" w14:textId="77777777" w:rsidR="00987462" w:rsidRDefault="00987462" w:rsidP="00987462">
            <w:pPr>
              <w:rPr>
                <w:rFonts w:eastAsia="新細明體"/>
                <w:lang w:eastAsia="zh-TW"/>
              </w:rPr>
            </w:pPr>
            <w:r>
              <w:rPr>
                <w:rFonts w:eastAsia="新細明體" w:hint="eastAsia"/>
                <w:lang w:eastAsia="zh-TW"/>
              </w:rPr>
              <w:t>Q</w:t>
            </w:r>
            <w:r>
              <w:rPr>
                <w:rFonts w:eastAsia="新細明體"/>
                <w:lang w:eastAsia="zh-TW"/>
              </w:rPr>
              <w:t>1: Yes</w:t>
            </w:r>
          </w:p>
          <w:p w14:paraId="683B5951" w14:textId="77777777" w:rsidR="00987462" w:rsidRDefault="00987462" w:rsidP="00987462">
            <w:pPr>
              <w:rPr>
                <w:rFonts w:eastAsia="新細明體"/>
                <w:lang w:eastAsia="zh-TW"/>
              </w:rPr>
            </w:pPr>
            <w:r>
              <w:rPr>
                <w:rFonts w:eastAsia="新細明體" w:hint="eastAsia"/>
                <w:lang w:eastAsia="zh-TW"/>
              </w:rPr>
              <w:t>Q</w:t>
            </w:r>
            <w:r>
              <w:rPr>
                <w:rFonts w:eastAsia="新細明體"/>
                <w:lang w:eastAsia="zh-TW"/>
              </w:rPr>
              <w:t>3: Yes</w:t>
            </w:r>
          </w:p>
          <w:p w14:paraId="561094E7" w14:textId="47DE673F" w:rsidR="00987462" w:rsidRPr="00BE2425" w:rsidRDefault="00987462" w:rsidP="00987462">
            <w:pPr>
              <w:rPr>
                <w:lang w:val="en-GB" w:eastAsia="x-none"/>
              </w:rPr>
            </w:pPr>
            <w:r>
              <w:rPr>
                <w:rFonts w:eastAsia="新細明體" w:hint="eastAsia"/>
                <w:lang w:eastAsia="zh-TW"/>
              </w:rPr>
              <w:t>Q</w:t>
            </w:r>
            <w:r>
              <w:rPr>
                <w:rFonts w:eastAsia="新細明體"/>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新細明體"/>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新細明體"/>
                <w:lang w:eastAsia="zh-TW"/>
              </w:rPr>
            </w:pPr>
            <w:r w:rsidRPr="005E3D2C">
              <w:rPr>
                <w:lang w:val="en-GB" w:eastAsia="x-none"/>
              </w:rPr>
              <w:t>Q4: Yes, two individual decodings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lastRenderedPageBreak/>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lastRenderedPageBreak/>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新細明體" w:hint="eastAsia"/>
                <w:lang w:eastAsia="zh-TW"/>
              </w:rPr>
              <w:t>F</w:t>
            </w:r>
            <w:r>
              <w:rPr>
                <w:rFonts w:eastAsia="新細明體"/>
                <w:lang w:eastAsia="zh-TW"/>
              </w:rPr>
              <w:t>GI/APT</w:t>
            </w:r>
          </w:p>
        </w:tc>
        <w:tc>
          <w:tcPr>
            <w:tcW w:w="7070" w:type="dxa"/>
          </w:tcPr>
          <w:p w14:paraId="1D0548F2" w14:textId="77777777" w:rsidR="00950899" w:rsidRDefault="00950899" w:rsidP="00950899">
            <w:pPr>
              <w:rPr>
                <w:rFonts w:eastAsia="新細明體"/>
                <w:lang w:eastAsia="zh-TW"/>
              </w:rPr>
            </w:pPr>
            <w:r>
              <w:rPr>
                <w:rFonts w:eastAsia="新細明體" w:hint="eastAsia"/>
                <w:lang w:eastAsia="zh-TW"/>
              </w:rPr>
              <w:t>F</w:t>
            </w:r>
            <w:r>
              <w:rPr>
                <w:rFonts w:eastAsia="新細明體"/>
                <w:lang w:eastAsia="zh-TW"/>
              </w:rPr>
              <w:t>or Case 1, we prefer Alt 1.</w:t>
            </w:r>
          </w:p>
          <w:p w14:paraId="7DA0A738" w14:textId="6ECC2A7A" w:rsidR="00950899" w:rsidRDefault="00950899" w:rsidP="00950899">
            <w:r>
              <w:rPr>
                <w:rFonts w:eastAsia="新細明體" w:hint="eastAsia"/>
                <w:lang w:eastAsia="zh-TW"/>
              </w:rPr>
              <w:t>F</w:t>
            </w:r>
            <w:r>
              <w:rPr>
                <w:rFonts w:eastAsia="新細明體"/>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新細明體"/>
                <w:lang w:eastAsia="zh-TW"/>
              </w:rPr>
            </w:pPr>
            <w:r>
              <w:t>Ericsson</w:t>
            </w:r>
          </w:p>
        </w:tc>
        <w:tc>
          <w:tcPr>
            <w:tcW w:w="7070" w:type="dxa"/>
          </w:tcPr>
          <w:p w14:paraId="7929F757" w14:textId="77DF1FEE" w:rsidR="00425134" w:rsidRDefault="00425134" w:rsidP="00425134">
            <w:pPr>
              <w:rPr>
                <w:rFonts w:eastAsia="新細明體"/>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rPr>
                <w:rFonts w:hint="eastAsia"/>
              </w:rPr>
            </w:pPr>
            <w:r>
              <w:rPr>
                <w:rFonts w:eastAsia="新細明體" w:hint="eastAsia"/>
                <w:lang w:eastAsia="zh-TW"/>
              </w:rPr>
              <w:t>ASUSTeK</w:t>
            </w:r>
          </w:p>
        </w:tc>
        <w:tc>
          <w:tcPr>
            <w:tcW w:w="7070" w:type="dxa"/>
          </w:tcPr>
          <w:p w14:paraId="204CA7F0" w14:textId="4539D5A7" w:rsidR="0067200E" w:rsidRDefault="0067200E" w:rsidP="0067200E">
            <w:pPr>
              <w:rPr>
                <w:rFonts w:hint="eastAsia"/>
              </w:rPr>
            </w:pPr>
            <w:r>
              <w:rPr>
                <w:rFonts w:eastAsia="新細明體" w:hint="eastAsia"/>
                <w:lang w:eastAsia="zh-TW"/>
              </w:rPr>
              <w:t>Support FL proposal</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80F85" w:rsidRPr="00E92E40" w:rsidRDefault="00180F85"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80F85" w:rsidRPr="00E92E40" w:rsidRDefault="00180F85"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lastRenderedPageBreak/>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lastRenderedPageBreak/>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5"/>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a5"/>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a5"/>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a5"/>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5"/>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5"/>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新細明體" w:hint="eastAsia"/>
                <w:lang w:eastAsia="zh-TW"/>
              </w:rPr>
              <w:t>F</w:t>
            </w:r>
            <w:r>
              <w:rPr>
                <w:rFonts w:eastAsia="新細明體"/>
                <w:lang w:eastAsia="zh-TW"/>
              </w:rPr>
              <w:t>GI/APT</w:t>
            </w:r>
          </w:p>
        </w:tc>
        <w:tc>
          <w:tcPr>
            <w:tcW w:w="7070" w:type="dxa"/>
          </w:tcPr>
          <w:p w14:paraId="35393302" w14:textId="626F18DF" w:rsidR="0009529E" w:rsidRDefault="0009529E" w:rsidP="0009529E">
            <w:pPr>
              <w:rPr>
                <w:rFonts w:eastAsia="Malgun Gothic"/>
                <w:lang w:eastAsia="ko-KR"/>
              </w:rPr>
            </w:pPr>
            <w:r>
              <w:rPr>
                <w:rFonts w:eastAsia="新細明體" w:hint="eastAsia"/>
                <w:lang w:eastAsia="zh-TW"/>
              </w:rPr>
              <w:t>S</w:t>
            </w:r>
            <w:r>
              <w:rPr>
                <w:rFonts w:eastAsia="新細明體"/>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新細明體"/>
                <w:lang w:eastAsia="zh-TW"/>
              </w:rPr>
            </w:pPr>
            <w:r>
              <w:t>Ericsson</w:t>
            </w:r>
          </w:p>
        </w:tc>
        <w:tc>
          <w:tcPr>
            <w:tcW w:w="7070" w:type="dxa"/>
          </w:tcPr>
          <w:p w14:paraId="21CA9EE7" w14:textId="289BD6F0" w:rsidR="00BE7F62" w:rsidRDefault="00BE7F62" w:rsidP="00BE7F62">
            <w:pPr>
              <w:rPr>
                <w:rFonts w:eastAsia="新細明體"/>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rPr>
                <w:rFonts w:hint="eastAsia"/>
              </w:rPr>
            </w:pPr>
            <w:r>
              <w:rPr>
                <w:rFonts w:eastAsia="新細明體" w:hint="eastAsia"/>
                <w:lang w:eastAsia="zh-TW"/>
              </w:rPr>
              <w:t>ASUSTeK</w:t>
            </w:r>
          </w:p>
        </w:tc>
        <w:tc>
          <w:tcPr>
            <w:tcW w:w="7070" w:type="dxa"/>
          </w:tcPr>
          <w:p w14:paraId="647CB1E2" w14:textId="5F731680" w:rsidR="0067200E" w:rsidRDefault="0067200E" w:rsidP="0067200E">
            <w:pPr>
              <w:rPr>
                <w:rFonts w:hint="eastAsia"/>
              </w:rPr>
            </w:pPr>
            <w:r>
              <w:rPr>
                <w:rFonts w:eastAsia="新細明體" w:hint="eastAsia"/>
                <w:lang w:eastAsia="zh-TW"/>
              </w:rPr>
              <w:t>Support FL proposal</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lastRenderedPageBreak/>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CORESETPoolIndex corresponds to a different TRP. If two </w:t>
            </w:r>
            <w:r w:rsidRPr="00B40835">
              <w:t>linked PDCCH candidates</w:t>
            </w:r>
            <w:r>
              <w:t xml:space="preserve"> are configured with the same  CORESETPoolIndex, it means each CORESETPoolIndex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lastRenderedPageBreak/>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新細明體"/>
                <w:lang w:eastAsia="zh-TW"/>
              </w:rPr>
            </w:pPr>
            <w:r>
              <w:rPr>
                <w:rFonts w:eastAsia="新細明體" w:hint="eastAsia"/>
                <w:lang w:eastAsia="zh-TW"/>
              </w:rPr>
              <w:t>F</w:t>
            </w:r>
            <w:r>
              <w:rPr>
                <w:rFonts w:eastAsia="新細明體"/>
                <w:lang w:eastAsia="zh-TW"/>
              </w:rPr>
              <w:t>GI/APT</w:t>
            </w:r>
          </w:p>
        </w:tc>
        <w:tc>
          <w:tcPr>
            <w:tcW w:w="7070" w:type="dxa"/>
          </w:tcPr>
          <w:p w14:paraId="46F4906D" w14:textId="08C2CBD0" w:rsidR="00806BE2" w:rsidRPr="00806BE2" w:rsidRDefault="00806BE2" w:rsidP="001D1821">
            <w:pPr>
              <w:rPr>
                <w:rFonts w:eastAsia="新細明體"/>
                <w:lang w:eastAsia="zh-TW"/>
              </w:rPr>
            </w:pPr>
            <w:r>
              <w:rPr>
                <w:rFonts w:eastAsia="新細明體" w:hint="eastAsia"/>
                <w:lang w:eastAsia="zh-TW"/>
              </w:rPr>
              <w:t>S</w:t>
            </w:r>
            <w:r>
              <w:rPr>
                <w:rFonts w:eastAsia="新細明體"/>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新細明體"/>
                <w:lang w:eastAsia="zh-TW"/>
              </w:rPr>
            </w:pPr>
            <w:r>
              <w:t>Ericsson</w:t>
            </w:r>
          </w:p>
        </w:tc>
        <w:tc>
          <w:tcPr>
            <w:tcW w:w="7070" w:type="dxa"/>
          </w:tcPr>
          <w:p w14:paraId="67919CA0" w14:textId="4D659E23" w:rsidR="00A46E92" w:rsidRDefault="00A46E92" w:rsidP="00A46E92">
            <w:pPr>
              <w:rPr>
                <w:rFonts w:eastAsia="新細明體"/>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rPr>
                <w:rFonts w:hint="eastAsia"/>
              </w:rPr>
            </w:pPr>
            <w:r>
              <w:rPr>
                <w:rFonts w:eastAsia="新細明體" w:hint="eastAsia"/>
                <w:lang w:eastAsia="zh-TW"/>
              </w:rPr>
              <w:t>ASUSTeK</w:t>
            </w:r>
          </w:p>
        </w:tc>
        <w:tc>
          <w:tcPr>
            <w:tcW w:w="7070" w:type="dxa"/>
          </w:tcPr>
          <w:p w14:paraId="39B576DB" w14:textId="1FFEC14B" w:rsidR="0067200E" w:rsidRDefault="0067200E" w:rsidP="0067200E">
            <w:pPr>
              <w:rPr>
                <w:rFonts w:hint="eastAsia"/>
              </w:rPr>
            </w:pPr>
            <w:r>
              <w:rPr>
                <w:rFonts w:eastAsia="新細明體" w:hint="eastAsia"/>
                <w:lang w:eastAsia="zh-TW"/>
              </w:rP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lastRenderedPageBreak/>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新細明體"/>
                <w:lang w:eastAsia="zh-TW"/>
              </w:rPr>
            </w:pPr>
            <w:r>
              <w:rPr>
                <w:rFonts w:eastAsia="新細明體" w:hint="eastAsia"/>
                <w:lang w:eastAsia="zh-TW"/>
              </w:rPr>
              <w:t>F</w:t>
            </w:r>
            <w:r>
              <w:rPr>
                <w:rFonts w:eastAsia="新細明體"/>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新細明體"/>
                <w:lang w:eastAsia="zh-TW"/>
              </w:rPr>
            </w:pPr>
            <w:r>
              <w:rPr>
                <w:rFonts w:eastAsia="新細明體" w:hint="eastAsia"/>
                <w:lang w:eastAsia="zh-TW"/>
              </w:rPr>
              <w:t>S</w:t>
            </w:r>
            <w:r>
              <w:rPr>
                <w:rFonts w:eastAsia="新細明體"/>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新細明體"/>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新細明體"/>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TW"/>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TW"/>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TW"/>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TW"/>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lastRenderedPageBreak/>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TW"/>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lastRenderedPageBreak/>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lastRenderedPageBreak/>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r>
              <w:rPr>
                <w:rFonts w:eastAsia="新細明體" w:hint="eastAsia"/>
                <w:lang w:eastAsia="zh-TW"/>
              </w:rPr>
              <w:t>ASUSTeK</w:t>
            </w:r>
          </w:p>
        </w:tc>
        <w:tc>
          <w:tcPr>
            <w:tcW w:w="7070" w:type="dxa"/>
          </w:tcPr>
          <w:p w14:paraId="0F185F50" w14:textId="77777777" w:rsidR="0067200E" w:rsidRPr="00113A99" w:rsidRDefault="0067200E" w:rsidP="0067200E">
            <w:pPr>
              <w:rPr>
                <w:rFonts w:eastAsia="新細明體"/>
                <w:bCs/>
                <w:lang w:val="en-GB" w:eastAsia="zh-TW"/>
              </w:rPr>
            </w:pPr>
            <w:r w:rsidRPr="00AD19FE">
              <w:rPr>
                <w:rFonts w:eastAsia="新細明體" w:hint="eastAsia"/>
                <w:lang w:eastAsia="zh-TW"/>
              </w:rPr>
              <w:t xml:space="preserve">Q1: </w:t>
            </w:r>
            <w:r w:rsidRPr="00113A99">
              <w:rPr>
                <w:rFonts w:eastAsia="新細明體"/>
                <w:bCs/>
                <w:lang w:val="en-GB" w:eastAsia="zh-TW"/>
              </w:rPr>
              <w:t>CSS Type3 can be supported</w:t>
            </w:r>
          </w:p>
          <w:p w14:paraId="5AFED85C" w14:textId="350D31D1" w:rsidR="0067200E" w:rsidRDefault="0067200E" w:rsidP="0067200E">
            <w:pPr>
              <w:rPr>
                <w:rFonts w:eastAsia="Malgun Gothic"/>
                <w:lang w:eastAsia="ko-KR"/>
              </w:rPr>
            </w:pPr>
            <w:r>
              <w:rPr>
                <w:rFonts w:eastAsia="新細明體" w:hint="eastAsia"/>
                <w:lang w:eastAsia="zh-TW"/>
              </w:rPr>
              <w:t>Q2:</w:t>
            </w:r>
            <w:r>
              <w:rPr>
                <w:rFonts w:eastAsia="新細明體"/>
                <w:lang w:eastAsia="zh-TW"/>
              </w:rPr>
              <w:t xml:space="preserve"> Share same view with LG and Ericsson, introduce some restriction could be a simple solution.</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lastRenderedPageBreak/>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TW"/>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TW"/>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lastRenderedPageBreak/>
              <w:t>Convida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rPr>
                <w:rFonts w:hint="eastAsia"/>
              </w:rPr>
            </w:pPr>
            <w:r>
              <w:rPr>
                <w:rFonts w:eastAsia="Malgun Gothic"/>
                <w:lang w:eastAsia="ko-KR"/>
              </w:rPr>
              <w:t>ASUSTeK</w:t>
            </w:r>
          </w:p>
        </w:tc>
        <w:tc>
          <w:tcPr>
            <w:tcW w:w="7070" w:type="dxa"/>
          </w:tcPr>
          <w:p w14:paraId="4DA48EF3" w14:textId="29B1ECD8" w:rsidR="0067200E" w:rsidRDefault="0067200E" w:rsidP="0067200E">
            <w:pPr>
              <w:rPr>
                <w:rFonts w:hint="eastAsia"/>
              </w:rPr>
            </w:pPr>
            <w:r>
              <w:rPr>
                <w:rFonts w:eastAsia="新細明體" w:hint="eastAsia"/>
                <w:lang w:eastAsia="zh-TW"/>
              </w:rP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9800" w14:textId="77777777" w:rsidR="008F2C2E" w:rsidRDefault="008F2C2E" w:rsidP="00A16686">
      <w:pPr>
        <w:spacing w:after="0" w:line="240" w:lineRule="auto"/>
      </w:pPr>
      <w:r>
        <w:separator/>
      </w:r>
    </w:p>
  </w:endnote>
  <w:endnote w:type="continuationSeparator" w:id="0">
    <w:p w14:paraId="203889FB" w14:textId="77777777" w:rsidR="008F2C2E" w:rsidRDefault="008F2C2E"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726E" w14:textId="77777777" w:rsidR="008F2C2E" w:rsidRDefault="008F2C2E" w:rsidP="00A16686">
      <w:pPr>
        <w:spacing w:after="0" w:line="240" w:lineRule="auto"/>
      </w:pPr>
      <w:r>
        <w:separator/>
      </w:r>
    </w:p>
  </w:footnote>
  <w:footnote w:type="continuationSeparator" w:id="0">
    <w:p w14:paraId="1B383286" w14:textId="77777777" w:rsidR="008F2C2E" w:rsidRDefault="008F2C2E"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SimSun"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本文 字元"/>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標號 字元"/>
    <w:aliases w:val="cap 字元,cap1 字元,cap2 字元,cap3 字元,cap4 字元,cap5 字元,cap6 字元,cap7 字元,cap8 字元,cap9 字元,cap10 字元,cap11 字元,cap21 字元,cap31 字元,cap41 字元,cap51 字元,cap61 字元,cap71 字元,cap81 字元,cap91 字元,cap101 字元,cap12 字元,cap22 字元,cap32 字元,cap42 字元,cap52 字元,cap62 字元,cap72 字元"/>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標題 2 字元"/>
    <w:aliases w:val="H2 字元,h2 字元,Head2A 字元,2 字元,UNDERRUBRIK 1-2 字元,DO NOT USE_h2 字元,h21 字元,H2 Char 字元,h2 Char 字元,Header 2 字元,Header2 字元,22 字元,heading2 字元,2nd level 字元,H21 字元,H22 字元,H23 字元,H24 字元,H25 字元,R2 字元,E2 字元,†berschrift 2 字元,õberschrift 2 字元"/>
    <w:basedOn w:val="a0"/>
    <w:link w:val="2"/>
    <w:uiPriority w:val="9"/>
    <w:rsid w:val="007F2968"/>
    <w:rPr>
      <w:rFonts w:ascii="Arial" w:eastAsia="Times New Roman" w:hAnsi="Arial" w:cs="Times New Roman"/>
      <w:i/>
      <w:iCs/>
      <w:sz w:val="24"/>
      <w:szCs w:val="28"/>
      <w:lang w:val="en-GB"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標題 5 字元"/>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標題 6 字元"/>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標題 7 字元"/>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標題 8 字元"/>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標題 9 字元"/>
    <w:basedOn w:val="a0"/>
    <w:link w:val="9"/>
    <w:uiPriority w:val="9"/>
    <w:semiHidden/>
    <w:rsid w:val="007F2968"/>
    <w:rPr>
      <w:rFonts w:ascii="Arial" w:eastAsia="Batang" w:hAnsi="Arial" w:cs="Times New Roman"/>
      <w:lang w:val="en-GB" w:eastAsia="x-none"/>
    </w:r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註解文字 字元"/>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頁尾 字元"/>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頁首 字元"/>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註解主旨 字元"/>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本文 2 字元"/>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1">
    <w:name w:val="toc 9"/>
    <w:basedOn w:val="81"/>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81">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BFBABF72-912F-440E-89B7-3FD55CFC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6112</Words>
  <Characters>34844</Characters>
  <Application>Microsoft Office Word</Application>
  <DocSecurity>0</DocSecurity>
  <Lines>290</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Denny_Huang6</cp:lastModifiedBy>
  <cp:revision>11</cp:revision>
  <dcterms:created xsi:type="dcterms:W3CDTF">2021-08-19T00:31:00Z</dcterms:created>
  <dcterms:modified xsi:type="dcterms:W3CDTF">2021-08-19T01:54:00Z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