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4"/>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4"/>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4"/>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4"/>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bl>
    <w:p w14:paraId="0BEF6D81" w14:textId="7E8F1BB3" w:rsidR="00D90A7B" w:rsidRPr="00E32218"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4"/>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4"/>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4"/>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pPr>
              <w:rPr>
                <w:rFonts w:hint="eastAsia"/>
              </w:rPr>
            </w:pPr>
            <w:r>
              <w:rPr>
                <w:rFonts w:hint="eastAsia"/>
              </w:rPr>
              <w:t xml:space="preserve">Q1: </w:t>
            </w:r>
            <w:r>
              <w:t>Y</w:t>
            </w:r>
            <w:r>
              <w:rPr>
                <w:rFonts w:hint="eastAsia"/>
              </w:rPr>
              <w:t>es</w:t>
            </w:r>
          </w:p>
          <w:p w14:paraId="621CFA97" w14:textId="6A19342A" w:rsidR="0014189E" w:rsidRDefault="0014189E" w:rsidP="0014189E">
            <w:r>
              <w:t>Q2: prefer Option 3</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a4"/>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4"/>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a4"/>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4"/>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4"/>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4"/>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lastRenderedPageBreak/>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pPr>
              <w:rPr>
                <w:rFonts w:hint="eastAsia"/>
              </w:rPr>
            </w:pPr>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lastRenderedPageBreak/>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4"/>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4"/>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4"/>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lastRenderedPageBreak/>
        <w:t>Alt3: Overbooking is done per linked candidate / linked MO (rather than per SS set level)</w:t>
      </w:r>
    </w:p>
    <w:p w14:paraId="1A58FB34" w14:textId="77777777" w:rsidR="00216CD2" w:rsidRDefault="00216CD2" w:rsidP="00216CD2">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4"/>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4"/>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4"/>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lastRenderedPageBreak/>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4"/>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4"/>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4"/>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4"/>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4"/>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lastRenderedPageBreak/>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4"/>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4"/>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4"/>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4"/>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4"/>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4"/>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w:t>
            </w:r>
            <w:r w:rsidR="00383B75">
              <w:t>linked SS set in USS have higher priority that individual SS set</w:t>
            </w:r>
            <w:r w:rsidR="00383B75">
              <w:t>”. We suggest to update Alt 3 as below:</w:t>
            </w:r>
          </w:p>
          <w:p w14:paraId="6A3D2D20" w14:textId="3B0D7111" w:rsidR="00383B75" w:rsidRDefault="00383B75" w:rsidP="00383B75">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lastRenderedPageBreak/>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4"/>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4"/>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lastRenderedPageBreak/>
        <w:t>Vivo and Lenovo/MotM proposed to discuss whether different CSS types (0/0A/1/2) are supported for PDCCH repetition or not.</w:t>
      </w:r>
    </w:p>
    <w:p w14:paraId="192BB1ED" w14:textId="5DA53D38" w:rsidR="0097616D" w:rsidRDefault="001C5790" w:rsidP="0097616D">
      <w:pPr>
        <w:pStyle w:val="a4"/>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w:lastRenderedPageBreak/>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4"/>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4"/>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lastRenderedPageBreak/>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pPr>
              <w:rPr>
                <w:rFonts w:hint="eastAsia"/>
              </w:rPr>
            </w:pPr>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lastRenderedPageBreak/>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bookmarkStart w:id="2" w:name="_GoBack"/>
            <w:bookmarkEnd w:id="2"/>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99BA" w14:textId="77777777" w:rsidR="009F3099" w:rsidRDefault="009F3099" w:rsidP="00A16686">
      <w:pPr>
        <w:spacing w:after="0" w:line="240" w:lineRule="auto"/>
      </w:pPr>
      <w:r>
        <w:separator/>
      </w:r>
    </w:p>
  </w:endnote>
  <w:endnote w:type="continuationSeparator" w:id="0">
    <w:p w14:paraId="0DAE7B49" w14:textId="77777777" w:rsidR="009F3099" w:rsidRDefault="009F3099"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쭀Ȓ怀"/>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4EF9" w14:textId="77777777" w:rsidR="009F3099" w:rsidRDefault="009F3099" w:rsidP="00A16686">
      <w:pPr>
        <w:spacing w:after="0" w:line="240" w:lineRule="auto"/>
      </w:pPr>
      <w:r>
        <w:separator/>
      </w:r>
    </w:p>
  </w:footnote>
  <w:footnote w:type="continuationSeparator" w:id="0">
    <w:p w14:paraId="58FE34A6" w14:textId="77777777" w:rsidR="009F3099" w:rsidRDefault="009F3099"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96B010A-C712-4B52-82D4-E54B6D76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4400</Words>
  <Characters>25083</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Administrator</cp:lastModifiedBy>
  <cp:revision>2</cp:revision>
  <dcterms:created xsi:type="dcterms:W3CDTF">2021-08-18T10:15:00Z</dcterms:created>
  <dcterms:modified xsi:type="dcterms:W3CDTF">2021-08-18T10:15:00Z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