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08A62FA8"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Convida, CATT, </w:t>
            </w:r>
            <w:proofErr w:type="spellStart"/>
            <w:r>
              <w:rPr>
                <w:rFonts w:eastAsia="Batang"/>
                <w:sz w:val="18"/>
                <w:szCs w:val="20"/>
                <w:lang w:eastAsia="en-US"/>
              </w:rPr>
              <w:t>Spreadtrum</w:t>
            </w:r>
            <w:proofErr w:type="spellEnd"/>
            <w:r>
              <w:rPr>
                <w:rFonts w:eastAsia="Batang"/>
                <w:sz w:val="18"/>
                <w:szCs w:val="20"/>
                <w:lang w:eastAsia="en-US"/>
              </w:rPr>
              <w:t>, Nokia/NSB, AT&amp;T, NTT Docomo</w:t>
            </w:r>
            <w:r w:rsidR="008411D1">
              <w:rPr>
                <w:rFonts w:eastAsia="Batang"/>
                <w:sz w:val="18"/>
                <w:szCs w:val="20"/>
                <w:lang w:eastAsia="en-US"/>
              </w:rPr>
              <w:t>, Lenovo/</w:t>
            </w:r>
            <w:proofErr w:type="spellStart"/>
            <w:r w:rsidR="008411D1">
              <w:rPr>
                <w:rFonts w:eastAsia="Batang"/>
                <w:sz w:val="18"/>
                <w:szCs w:val="20"/>
                <w:lang w:eastAsia="en-US"/>
              </w:rPr>
              <w:t>MotM</w:t>
            </w:r>
            <w:proofErr w:type="spellEnd"/>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52568380" w:rsidR="00751F7E" w:rsidRPr="00BE1A78" w:rsidRDefault="00751F7E" w:rsidP="008411D1">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Intel, Huawei/</w:t>
            </w:r>
            <w:proofErr w:type="spellStart"/>
            <w:r>
              <w:rPr>
                <w:rFonts w:eastAsia="Batang"/>
                <w:sz w:val="18"/>
                <w:szCs w:val="20"/>
                <w:lang w:eastAsia="en-US"/>
              </w:rPr>
              <w:t>HiSi</w:t>
            </w:r>
            <w:proofErr w:type="spellEnd"/>
            <w:r>
              <w:rPr>
                <w:rFonts w:eastAsia="Batang"/>
                <w:sz w:val="18"/>
                <w:szCs w:val="20"/>
                <w:lang w:eastAsia="en-US"/>
              </w:rPr>
              <w:t xml:space="preserve">, vivo, </w:t>
            </w:r>
            <w:proofErr w:type="spellStart"/>
            <w:r>
              <w:rPr>
                <w:rFonts w:eastAsia="Batang"/>
                <w:sz w:val="18"/>
                <w:szCs w:val="20"/>
                <w:lang w:eastAsia="en-US"/>
              </w:rPr>
              <w:t>Futurewei</w:t>
            </w:r>
            <w:proofErr w:type="spellEnd"/>
            <w:r>
              <w:rPr>
                <w:rFonts w:eastAsia="Batang"/>
                <w:sz w:val="18"/>
                <w:szCs w:val="20"/>
                <w:lang w:eastAsia="en-US"/>
              </w:rPr>
              <w:t>,</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06649B4B"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26089CA4"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41F5E164"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r w:rsidR="00FA02B2" w:rsidRPr="00465912">
        <w:rPr>
          <w:rFonts w:eastAsia="Batang"/>
          <w:sz w:val="20"/>
          <w:szCs w:val="20"/>
        </w:rPr>
        <w:t xml:space="preserve"> if the CORESET(s) is associated any USS set</w:t>
      </w:r>
      <w:r w:rsidR="00465912" w:rsidRPr="00465912">
        <w:rPr>
          <w:rFonts w:eastAsia="Batang"/>
          <w:sz w:val="20"/>
          <w:szCs w:val="20"/>
        </w:rPr>
        <w:t xml:space="preserve"> </w:t>
      </w:r>
    </w:p>
    <w:p w14:paraId="015154E8" w14:textId="728E22AA" w:rsidR="00465912"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FFS: if the CORESET(s) is not associated any USS set</w:t>
      </w:r>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05AE47D3" w:rsidR="00B60550"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Rel-15/16 </w:t>
      </w:r>
      <w:r w:rsidR="00DA366B" w:rsidRPr="00465912">
        <w:rPr>
          <w:rFonts w:eastAsia="Batang"/>
          <w:sz w:val="20"/>
          <w:szCs w:val="20"/>
          <w:lang w:eastAsia="en-US"/>
        </w:rPr>
        <w:t>TCI state update signaling/configuration mechanism(s)</w:t>
      </w:r>
      <w:r w:rsidR="00DA366B" w:rsidRPr="00E67168">
        <w:rPr>
          <w:rFonts w:eastAsia="Batang" w:hint="eastAsia"/>
          <w:sz w:val="20"/>
          <w:szCs w:val="20"/>
          <w:lang w:eastAsia="en-US"/>
        </w:rPr>
        <w:t xml:space="preserve">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sets can be configured, e.g. for different traffics</w:t>
      </w:r>
    </w:p>
    <w:bookmarkEnd w:id="2"/>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w:t>
            </w:r>
            <w:proofErr w:type="spellStart"/>
            <w:r w:rsidR="00CF1E79">
              <w:rPr>
                <w:rFonts w:eastAsia="DengXian"/>
                <w:b/>
                <w:color w:val="3333FF"/>
                <w:sz w:val="18"/>
                <w:szCs w:val="18"/>
                <w:lang w:eastAsia="zh-CN"/>
              </w:rPr>
              <w:t>Futurewei</w:t>
            </w:r>
            <w:proofErr w:type="spellEnd"/>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@ZTE: as in rel15/</w:t>
            </w:r>
            <w:proofErr w:type="gramStart"/>
            <w:r w:rsidRPr="00DE6E49">
              <w:rPr>
                <w:rFonts w:eastAsia="Yu Mincho"/>
                <w:bCs/>
                <w:sz w:val="18"/>
                <w:szCs w:val="18"/>
              </w:rPr>
              <w:t xml:space="preserve">16,   </w:t>
            </w:r>
            <w:proofErr w:type="gramEnd"/>
            <w:r w:rsidRPr="00DE6E49">
              <w:rPr>
                <w:rFonts w:eastAsia="Yu Mincho"/>
                <w:bCs/>
                <w:sz w:val="18"/>
                <w:szCs w:val="18"/>
              </w:rPr>
              <w:t xml:space="preserve">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zh-TW"/>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zh-TW"/>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zh-TW"/>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zh-TW"/>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zh-TW"/>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zh-TW"/>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proofErr w:type="spellStart"/>
            <w:r w:rsidRPr="00DE6E49">
              <w:rPr>
                <w:rFonts w:ascii="Times New Roman" w:hAnsi="Times New Roman"/>
                <w:i/>
                <w:sz w:val="18"/>
                <w:szCs w:val="18"/>
              </w:rPr>
              <w:t>srs-PowerControlAdjustmentStates</w:t>
            </w:r>
            <w:proofErr w:type="spellEnd"/>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zh-TW"/>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zh-TW"/>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zh-TW"/>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zh-TW"/>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proofErr w:type="spellStart"/>
            <w:r w:rsidRPr="00DE6E49">
              <w:rPr>
                <w:rFonts w:ascii="Times New Roman" w:hAnsi="Times New Roman"/>
                <w:i/>
                <w:sz w:val="18"/>
                <w:szCs w:val="18"/>
                <w:highlight w:val="yellow"/>
              </w:rPr>
              <w:t>srs-PowerControlAdjustmentStates</w:t>
            </w:r>
            <w:proofErr w:type="spellEnd"/>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proofErr w:type="spellStart"/>
            <w:r w:rsidRPr="00DE6E49">
              <w:rPr>
                <w:rFonts w:ascii="Times New Roman" w:hAnsi="Times New Roman"/>
                <w:i/>
                <w:sz w:val="18"/>
                <w:szCs w:val="18"/>
              </w:rPr>
              <w:t>tpc</w:t>
            </w:r>
            <w:proofErr w:type="spellEnd"/>
            <w:r w:rsidRPr="00DE6E49">
              <w:rPr>
                <w:rFonts w:ascii="Times New Roman" w:hAnsi="Times New Roman"/>
                <w:i/>
                <w:sz w:val="18"/>
                <w:szCs w:val="18"/>
              </w:rPr>
              <w:t>-Accumulation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F0685" w14:textId="77777777" w:rsidR="00DE6E49" w:rsidRPr="00DE6E49" w:rsidRDefault="00DE6E49" w:rsidP="00DE6E49">
            <w:pPr>
              <w:rPr>
                <w:sz w:val="18"/>
                <w:szCs w:val="18"/>
              </w:rPr>
            </w:pPr>
            <w:r w:rsidRPr="00DE6E49">
              <w:rPr>
                <w:sz w:val="18"/>
                <w:szCs w:val="18"/>
              </w:rPr>
              <w:t xml:space="preserve">The original Proposal 1.B-3 w/o the brackets means 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non-UE-dedicated PDCCH receptions (Proposal 1.B-3 w/o the content in the brackets), this could be a compromise solution. This proposal still allowing separate beam indications for non-UE dedicated reception and UE dedicated reception, respective, if NW would like to do so. </w:t>
            </w:r>
          </w:p>
          <w:p w14:paraId="78C15177" w14:textId="77777777" w:rsidR="007B4C11" w:rsidRPr="00DE6E49" w:rsidRDefault="007B4C11" w:rsidP="00B8736C">
            <w:pPr>
              <w:snapToGrid w:val="0"/>
              <w:rPr>
                <w:rFonts w:eastAsia="Yu Mincho"/>
                <w:bCs/>
                <w:sz w:val="18"/>
                <w:szCs w:val="18"/>
                <w:lang w:eastAsia="ja-JP"/>
              </w:rPr>
            </w:pP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proofErr w:type="spellStart"/>
            <w:r>
              <w:rPr>
                <w:rFonts w:eastAsia="Yu Mincho"/>
                <w:sz w:val="18"/>
                <w:szCs w:val="18"/>
                <w:lang w:eastAsia="ja-JP"/>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 xml:space="preserve">On Proposal 1.C, our understanding is that basically this is R17 mechanism using R17 TCI state but reuse R15/16 design.  </w:t>
            </w:r>
            <w:proofErr w:type="gramStart"/>
            <w:r w:rsidRPr="00CF1E79">
              <w:rPr>
                <w:sz w:val="18"/>
                <w:szCs w:val="18"/>
              </w:rPr>
              <w:t>So</w:t>
            </w:r>
            <w:proofErr w:type="gramEnd"/>
            <w:r w:rsidRPr="00CF1E79">
              <w:rPr>
                <w:sz w:val="18"/>
                <w:szCs w:val="18"/>
              </w:rPr>
              <w:t xml:space="preserve">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7777777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3" w:author="Unknown" w:date="2021-08-18T20:35:00Z">
              <w:r w:rsidRPr="00CF1E79">
                <w:rPr>
                  <w:rStyle w:val="xmsoins"/>
                  <w:color w:val="008080"/>
                  <w:sz w:val="18"/>
                  <w:szCs w:val="18"/>
                  <w:u w:val="single"/>
                  <w:lang w:val="en-GB"/>
                </w:rPr>
                <w:t>R17 mechanism</w:t>
              </w:r>
            </w:ins>
            <w:ins w:id="4" w:author="Unknown" w:date="2021-08-18T20:36:00Z">
              <w:r w:rsidRPr="00CF1E79">
                <w:rPr>
                  <w:rStyle w:val="xmsoins"/>
                  <w:color w:val="008080"/>
                  <w:sz w:val="18"/>
                  <w:szCs w:val="18"/>
                  <w:u w:val="single"/>
                  <w:lang w:val="en-GB"/>
                </w:rPr>
                <w:t>(s)</w:t>
              </w:r>
            </w:ins>
            <w:ins w:id="5"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 w:author="Unknown" w:date="2021-08-18T20:36:00Z">
              <w:r w:rsidRPr="00CF1E79">
                <w:rPr>
                  <w:rStyle w:val="xmsodel"/>
                  <w:strike/>
                  <w:color w:val="FF0000"/>
                  <w:sz w:val="18"/>
                  <w:szCs w:val="18"/>
                </w:rPr>
                <w:delText>mechanism</w:delText>
              </w:r>
            </w:del>
            <w:ins w:id="7" w:author="Unknown" w:date="2021-08-18T20:36:00Z">
              <w:r w:rsidRPr="00CF1E79">
                <w:rPr>
                  <w:rStyle w:val="xmsoins"/>
                  <w:color w:val="008080"/>
                  <w:sz w:val="18"/>
                  <w:szCs w:val="18"/>
                  <w:u w:val="single"/>
                </w:rPr>
                <w:t>design</w:t>
              </w:r>
            </w:ins>
            <w:r w:rsidRPr="00CF1E79">
              <w:rPr>
                <w:sz w:val="18"/>
                <w:szCs w:val="18"/>
              </w:rPr>
              <w:t xml:space="preserve">(s) are </w:t>
            </w:r>
            <w:del w:id="8" w:author="Unknown" w:date="2021-08-18T20:37:00Z">
              <w:r w:rsidRPr="00CF1E79">
                <w:rPr>
                  <w:rStyle w:val="xmsodel"/>
                  <w:strike/>
                  <w:color w:val="FF0000"/>
                  <w:sz w:val="18"/>
                  <w:szCs w:val="18"/>
                </w:rPr>
                <w:delText>re</w:delText>
              </w:r>
            </w:del>
            <w:r w:rsidRPr="00CF1E79">
              <w:rPr>
                <w:sz w:val="18"/>
                <w:szCs w:val="18"/>
              </w:rPr>
              <w:t>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 xml:space="preserve">@OPPO, </w:t>
            </w:r>
            <w:proofErr w:type="gramStart"/>
            <w:r>
              <w:rPr>
                <w:rFonts w:eastAsia="Yu Mincho"/>
                <w:bCs/>
                <w:sz w:val="18"/>
                <w:szCs w:val="18"/>
                <w:lang w:eastAsia="ja-JP"/>
              </w:rPr>
              <w:t>The</w:t>
            </w:r>
            <w:proofErr w:type="gramEnd"/>
            <w:r>
              <w:rPr>
                <w:rFonts w:eastAsia="Yu Mincho"/>
                <w:bCs/>
                <w:sz w:val="18"/>
                <w:szCs w:val="18"/>
                <w:lang w:eastAsia="ja-JP"/>
              </w:rPr>
              <w:t xml:space="preserve"> separate closed loop is used for FDD (PUSCH-less) mainly, and </w:t>
            </w:r>
            <w:proofErr w:type="spellStart"/>
            <w:r>
              <w:rPr>
                <w:rFonts w:eastAsia="Yu Mincho"/>
                <w:bCs/>
                <w:sz w:val="18"/>
                <w:szCs w:val="18"/>
                <w:lang w:eastAsia="ja-JP"/>
              </w:rPr>
              <w:t>can not</w:t>
            </w:r>
            <w:proofErr w:type="spellEnd"/>
            <w:r>
              <w:rPr>
                <w:rFonts w:eastAsia="Yu Mincho"/>
                <w:bCs/>
                <w:sz w:val="18"/>
                <w:szCs w:val="18"/>
                <w:lang w:eastAsia="ja-JP"/>
              </w:rPr>
              <w:t xml:space="preserve">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w:t>
            </w:r>
            <w:proofErr w:type="gramStart"/>
            <w:r w:rsidR="00A07503">
              <w:rPr>
                <w:rFonts w:eastAsia="Yu Mincho"/>
                <w:bCs/>
                <w:sz w:val="18"/>
                <w:szCs w:val="18"/>
                <w:lang w:eastAsia="ja-JP"/>
              </w:rPr>
              <w:t>an another</w:t>
            </w:r>
            <w:proofErr w:type="gramEnd"/>
            <w:r w:rsidR="00A07503">
              <w:rPr>
                <w:rFonts w:eastAsia="Yu Mincho"/>
                <w:bCs/>
                <w:sz w:val="18"/>
                <w:szCs w:val="18"/>
                <w:lang w:eastAsia="ja-JP"/>
              </w:rPr>
              <w:t xml:space="preserve">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 xml:space="preserve">ow to achieve the uplink adaptation is a serious issue. In general, compared with Rel-15 design, we now prefer to have a really dynamic beam switch for UL and there </w:t>
            </w:r>
            <w:proofErr w:type="gramStart"/>
            <w:r w:rsidR="0058522C">
              <w:rPr>
                <w:rFonts w:eastAsia="Yu Mincho"/>
                <w:bCs/>
                <w:sz w:val="18"/>
                <w:szCs w:val="18"/>
                <w:lang w:eastAsia="ja-JP"/>
              </w:rPr>
              <w:t>are</w:t>
            </w:r>
            <w:proofErr w:type="gramEnd"/>
            <w:r w:rsidR="0058522C">
              <w:rPr>
                <w:rFonts w:eastAsia="Yu Mincho"/>
                <w:bCs/>
                <w:sz w:val="18"/>
                <w:szCs w:val="18"/>
                <w:lang w:eastAsia="ja-JP"/>
              </w:rPr>
              <w:t xml:space="preserv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0045F4" w:rsidRPr="00DE6E49" w14:paraId="390E4BC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E87CE" w14:textId="44591DA8" w:rsidR="000045F4" w:rsidRPr="00DE6E49" w:rsidRDefault="000045F4" w:rsidP="000045F4">
            <w:pPr>
              <w:snapToGrid w:val="0"/>
              <w:rPr>
                <w:rFonts w:eastAsia="Yu Mincho"/>
                <w:sz w:val="18"/>
                <w:szCs w:val="18"/>
                <w:lang w:eastAsia="ja-JP"/>
              </w:rPr>
            </w:pPr>
            <w:r>
              <w:rPr>
                <w:rFonts w:eastAsia="Yu Mincho"/>
                <w:sz w:val="18"/>
                <w:szCs w:val="18"/>
                <w:lang w:eastAsia="ja-JP"/>
              </w:rPr>
              <w:t>Media</w:t>
            </w:r>
            <w:r>
              <w:rPr>
                <w:rFonts w:ascii="PMingLiU" w:eastAsia="PMingLiU" w:hAnsi="PMingLiU" w:hint="eastAsia"/>
                <w:sz w:val="18"/>
                <w:szCs w:val="18"/>
                <w:lang w:eastAsia="zh-TW"/>
              </w:rPr>
              <w:t>T</w:t>
            </w:r>
            <w:r>
              <w:rPr>
                <w:rFonts w:ascii="PMingLiU" w:eastAsia="PMingLiU" w:hAnsi="PMingLiU" w:cs="PMingLiU" w:hint="eastAsia"/>
                <w:sz w:val="18"/>
                <w:szCs w:val="18"/>
                <w:lang w:eastAsia="zh-TW"/>
              </w:rPr>
              <w:t xml:space="preserve">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38AED" w14:textId="77777777" w:rsidR="000045F4" w:rsidRDefault="000045F4" w:rsidP="000045F4">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33857838" w14:textId="77777777" w:rsidR="000045F4" w:rsidRPr="001B0553" w:rsidRDefault="000045F4" w:rsidP="000045F4">
            <w:pPr>
              <w:snapToGrid w:val="0"/>
              <w:rPr>
                <w:rFonts w:eastAsia="Yu Mincho"/>
                <w:bCs/>
                <w:sz w:val="18"/>
                <w:szCs w:val="18"/>
                <w:lang w:eastAsia="ja-JP"/>
              </w:rPr>
            </w:pPr>
          </w:p>
          <w:p w14:paraId="2261D92F" w14:textId="77777777" w:rsidR="000045F4" w:rsidRDefault="000045F4" w:rsidP="000045F4">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ED59593" w14:textId="77777777" w:rsidR="000045F4" w:rsidRPr="001B0553" w:rsidRDefault="000045F4" w:rsidP="000045F4">
            <w:pPr>
              <w:snapToGrid w:val="0"/>
              <w:rPr>
                <w:rFonts w:eastAsia="Yu Mincho"/>
                <w:bCs/>
                <w:sz w:val="18"/>
                <w:szCs w:val="18"/>
                <w:lang w:eastAsia="ja-JP"/>
              </w:rPr>
            </w:pPr>
          </w:p>
          <w:p w14:paraId="4E1C91B2" w14:textId="37FAFA8F" w:rsidR="000045F4" w:rsidRPr="00DE6E49" w:rsidRDefault="000045F4" w:rsidP="000045F4">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77777777" w:rsidR="0080678B" w:rsidRPr="0080678B" w:rsidRDefault="0080678B"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 xml:space="preserve">e with the formulation from </w:t>
            </w:r>
            <w:proofErr w:type="spellStart"/>
            <w:r>
              <w:rPr>
                <w:bCs/>
                <w:sz w:val="18"/>
                <w:szCs w:val="18"/>
                <w:lang w:eastAsia="zh-CN"/>
              </w:rPr>
              <w:t>Futurewei</w:t>
            </w:r>
            <w:proofErr w:type="spellEnd"/>
            <w:r>
              <w:rPr>
                <w:bCs/>
                <w:sz w:val="18"/>
                <w:szCs w:val="18"/>
                <w:lang w:eastAsia="zh-CN"/>
              </w:rPr>
              <w:t>.</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rFonts w:hint="eastAsia"/>
                <w:sz w:val="18"/>
                <w:szCs w:val="18"/>
                <w:lang w:eastAsia="zh-CN"/>
              </w:rPr>
            </w:pPr>
            <w:r>
              <w:rPr>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w:t>
            </w:r>
            <w:r>
              <w:rPr>
                <w:rFonts w:eastAsia="Batang"/>
                <w:sz w:val="20"/>
                <w:szCs w:val="20"/>
                <w:lang w:eastAsia="en-US"/>
              </w:rPr>
              <w:t xml:space="preserve">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AA90C9F" w14:textId="61C10AE6" w:rsidR="00083DD1" w:rsidRPr="0080678B" w:rsidRDefault="00083DD1" w:rsidP="0080678B">
            <w:pPr>
              <w:snapToGrid w:val="0"/>
              <w:rPr>
                <w:rFonts w:eastAsia="Yu Mincho"/>
                <w:bCs/>
                <w:sz w:val="18"/>
                <w:szCs w:val="18"/>
                <w:lang w:eastAsia="ja-JP"/>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 xml:space="preserve">ZTE, CMCC, Sony, Nokia/NSB,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Huawei/</w:t>
            </w:r>
            <w:proofErr w:type="spellStart"/>
            <w:r w:rsidR="00D321AB">
              <w:rPr>
                <w:rFonts w:eastAsia="Batang"/>
                <w:sz w:val="18"/>
                <w:szCs w:val="20"/>
                <w:lang w:eastAsia="en-US"/>
              </w:rPr>
              <w:t>HiSi</w:t>
            </w:r>
            <w:proofErr w:type="spellEnd"/>
            <w:r w:rsidR="00D321AB">
              <w:rPr>
                <w:rFonts w:eastAsia="Batang"/>
                <w:sz w:val="18"/>
                <w:szCs w:val="20"/>
                <w:lang w:eastAsia="en-US"/>
              </w:rPr>
              <w:t xml:space="preserve">,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LG, 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747E1AA2" w:rsidR="00556468" w:rsidRDefault="00016721" w:rsidP="0080734C">
      <w:pPr>
        <w:snapToGrid w:val="0"/>
        <w:jc w:val="both"/>
        <w:rPr>
          <w:rFonts w:eastAsia="SimSun"/>
          <w:sz w:val="20"/>
          <w:szCs w:val="18"/>
        </w:rPr>
      </w:pPr>
      <w:bookmarkStart w:id="9"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24D0B708"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0D0B39AD"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support</w:t>
      </w:r>
      <w:r>
        <w:rPr>
          <w:color w:val="FF0000"/>
          <w:sz w:val="20"/>
        </w:rPr>
        <w:t>s</w:t>
      </w:r>
      <w:r w:rsidR="001E568B" w:rsidRPr="001E568B">
        <w:rPr>
          <w:color w:val="FF0000"/>
          <w:sz w:val="20"/>
        </w:rPr>
        <w:t xml:space="preserve"> </w:t>
      </w:r>
      <w:r>
        <w:rPr>
          <w:color w:val="FF0000"/>
          <w:sz w:val="20"/>
        </w:rPr>
        <w:t xml:space="preserve">one physical cell ID, the NW </w:t>
      </w:r>
      <w:r w:rsidR="001E568B" w:rsidRPr="001E568B">
        <w:rPr>
          <w:color w:val="FF0000"/>
          <w:sz w:val="20"/>
        </w:rPr>
        <w:t xml:space="preserve">can activate TCI states </w:t>
      </w:r>
      <w:r>
        <w:rPr>
          <w:color w:val="FF0000"/>
          <w:sz w:val="20"/>
        </w:rPr>
        <w:t xml:space="preserve">associated with either </w:t>
      </w:r>
      <w:r w:rsidR="001E568B" w:rsidRPr="001E568B">
        <w:rPr>
          <w:color w:val="FF0000"/>
          <w:sz w:val="20"/>
        </w:rPr>
        <w:t>a ser</w:t>
      </w:r>
      <w:r>
        <w:rPr>
          <w:color w:val="FF0000"/>
          <w:sz w:val="20"/>
        </w:rPr>
        <w:t>ving cell or a non-serving cell</w:t>
      </w:r>
      <w:r w:rsidR="001E568B" w:rsidRPr="001E568B">
        <w:rPr>
          <w:color w:val="FF0000"/>
          <w:sz w:val="20"/>
        </w:rPr>
        <w:t>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sidRPr="00F5712F">
        <w:rPr>
          <w:rFonts w:eastAsia="SimSun"/>
          <w:color w:val="FF0000"/>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9"/>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lastRenderedPageBreak/>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w:t>
            </w:r>
            <w:proofErr w:type="spellStart"/>
            <w:r>
              <w:rPr>
                <w:rFonts w:eastAsia="DengXian"/>
                <w:b/>
                <w:color w:val="3333FF"/>
                <w:sz w:val="18"/>
                <w:szCs w:val="18"/>
                <w:lang w:eastAsia="zh-CN"/>
              </w:rPr>
              <w:t>vivo’s</w:t>
            </w:r>
            <w:proofErr w:type="spellEnd"/>
            <w:r>
              <w:rPr>
                <w:rFonts w:eastAsia="DengXian"/>
                <w:b/>
                <w:color w:val="3333FF"/>
                <w:sz w:val="18"/>
                <w:szCs w:val="18"/>
                <w:lang w:eastAsia="zh-CN"/>
              </w:rPr>
              <w:t xml:space="preserve">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w:t>
            </w:r>
            <w:proofErr w:type="spellStart"/>
            <w:r>
              <w:rPr>
                <w:rFonts w:eastAsia="SimSun"/>
                <w:sz w:val="18"/>
                <w:szCs w:val="18"/>
                <w:lang w:eastAsia="zh-CN"/>
              </w:rPr>
              <w:t>HiSi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w:t>
            </w:r>
            <w:proofErr w:type="gramStart"/>
            <w:r>
              <w:rPr>
                <w:sz w:val="18"/>
                <w:szCs w:val="20"/>
              </w:rPr>
              <w:t>But,</w:t>
            </w:r>
            <w:proofErr w:type="gramEnd"/>
            <w:r>
              <w:rPr>
                <w:sz w:val="18"/>
                <w:szCs w:val="20"/>
              </w:rPr>
              <w:t xml:space="preserve">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 xml:space="preserve">Firstly, we </w:t>
            </w:r>
            <w:proofErr w:type="spellStart"/>
            <w:r w:rsidR="0076526B">
              <w:rPr>
                <w:rFonts w:eastAsia="SimSun"/>
                <w:sz w:val="18"/>
                <w:szCs w:val="18"/>
                <w:lang w:eastAsia="zh-CN"/>
              </w:rPr>
              <w:t>can not</w:t>
            </w:r>
            <w:proofErr w:type="spellEnd"/>
            <w:r w:rsidR="0076526B">
              <w:rPr>
                <w:rFonts w:eastAsia="SimSun"/>
                <w:sz w:val="18"/>
                <w:szCs w:val="18"/>
                <w:lang w:eastAsia="zh-CN"/>
              </w:rPr>
              <w:t xml:space="preserve"> live with the description of ‘the unchanged serving cell’. In our views, the intention of this proposal is </w:t>
            </w:r>
            <w:proofErr w:type="gramStart"/>
            <w:r w:rsidR="0076526B">
              <w:rPr>
                <w:rFonts w:eastAsia="SimSun"/>
                <w:sz w:val="18"/>
                <w:szCs w:val="18"/>
                <w:lang w:eastAsia="zh-CN"/>
              </w:rPr>
              <w:t>align</w:t>
            </w:r>
            <w:proofErr w:type="gramEnd"/>
            <w:r w:rsidR="0076526B">
              <w:rPr>
                <w:rFonts w:eastAsia="SimSun"/>
                <w:sz w:val="18"/>
                <w:szCs w:val="18"/>
                <w:lang w:eastAsia="zh-CN"/>
              </w:rPr>
              <w:t xml:space="preserve">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 xml:space="preserve">Proposal 2.A.3, after double thinking, it may be relevant to on-going discussion in 8.1.2.2. So, we suggest </w:t>
            </w:r>
            <w:proofErr w:type="gramStart"/>
            <w:r>
              <w:rPr>
                <w:rFonts w:eastAsia="SimSun"/>
                <w:sz w:val="18"/>
                <w:szCs w:val="18"/>
                <w:lang w:eastAsia="zh-CN"/>
              </w:rPr>
              <w:t>to wait</w:t>
            </w:r>
            <w:proofErr w:type="gramEnd"/>
            <w:r>
              <w:rPr>
                <w:rFonts w:eastAsia="SimSun"/>
                <w:sz w:val="18"/>
                <w:szCs w:val="18"/>
                <w:lang w:eastAsia="zh-CN"/>
              </w:rPr>
              <w:t xml:space="preserve"> for the conclusion/agreement in 8.1.2.2</w:t>
            </w:r>
          </w:p>
          <w:p w14:paraId="6FE7A079" w14:textId="77777777" w:rsidR="0076526B" w:rsidRDefault="0076526B" w:rsidP="000A3FEC">
            <w:pPr>
              <w:snapToGrid w:val="0"/>
              <w:jc w:val="both"/>
              <w:rPr>
                <w:rFonts w:eastAsia="SimSun"/>
                <w:sz w:val="18"/>
                <w:szCs w:val="18"/>
                <w:lang w:eastAsia="zh-CN"/>
              </w:rPr>
            </w:pPr>
          </w:p>
          <w:p w14:paraId="2EDC5CF2" w14:textId="1D65742E" w:rsidR="0076526B" w:rsidRPr="00295808" w:rsidRDefault="0076526B" w:rsidP="0076526B">
            <w:pPr>
              <w:snapToGrid w:val="0"/>
              <w:jc w:val="both"/>
              <w:rPr>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tc>
      </w:tr>
      <w:tr w:rsidR="000045F4"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57C2E1F5" w:rsidR="000045F4" w:rsidRDefault="000045F4" w:rsidP="000045F4">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34D3E" w14:textId="11D42783" w:rsidR="000045F4" w:rsidRPr="00837D26" w:rsidRDefault="000045F4" w:rsidP="000045F4">
            <w:pPr>
              <w:snapToGrid w:val="0"/>
              <w:jc w:val="both"/>
              <w:rPr>
                <w:sz w:val="18"/>
                <w:szCs w:val="20"/>
              </w:rPr>
            </w:pPr>
            <w:r w:rsidRPr="001B0553">
              <w:rPr>
                <w:sz w:val="18"/>
                <w:szCs w:val="20"/>
              </w:rPr>
              <w:t>Proposal 2.A.1:</w:t>
            </w:r>
            <w:r>
              <w:rPr>
                <w:sz w:val="18"/>
                <w:szCs w:val="20"/>
              </w:rPr>
              <w:t xml:space="preserve"> Support. According to the latest FL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t>
            </w:r>
          </w:p>
          <w:p w14:paraId="7E972A2C" w14:textId="77777777" w:rsidR="000045F4" w:rsidRDefault="000045F4" w:rsidP="000045F4">
            <w:pPr>
              <w:snapToGrid w:val="0"/>
              <w:jc w:val="both"/>
              <w:rPr>
                <w:sz w:val="18"/>
                <w:szCs w:val="20"/>
              </w:rPr>
            </w:pPr>
          </w:p>
          <w:p w14:paraId="0839D459" w14:textId="77777777" w:rsidR="000045F4" w:rsidRDefault="000045F4" w:rsidP="000045F4">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2D93FF46" w14:textId="77777777" w:rsidR="000045F4" w:rsidRDefault="000045F4" w:rsidP="000045F4">
            <w:pPr>
              <w:snapToGrid w:val="0"/>
              <w:jc w:val="both"/>
              <w:rPr>
                <w:sz w:val="18"/>
                <w:szCs w:val="20"/>
              </w:rPr>
            </w:pPr>
          </w:p>
          <w:p w14:paraId="21B4E8F6" w14:textId="77777777" w:rsidR="000045F4" w:rsidRPr="001E568B" w:rsidRDefault="000045F4" w:rsidP="000045F4">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w:t>
            </w:r>
            <w:del w:id="10" w:author="Darcy Tsai" w:date="2021-08-19T18:08:00Z">
              <w:r w:rsidDel="00DD7C8A">
                <w:rPr>
                  <w:color w:val="FF0000"/>
                  <w:sz w:val="20"/>
                </w:rPr>
                <w:delText>either</w:delText>
              </w:r>
            </w:del>
            <w:ins w:id="11" w:author="Darcy Tsai" w:date="2021-08-19T18:07:00Z">
              <w:r>
                <w:rPr>
                  <w:color w:val="FF0000"/>
                  <w:sz w:val="20"/>
                </w:rPr>
                <w:t xml:space="preserve">a </w:t>
              </w:r>
              <w:r w:rsidRPr="00DD7C8A">
                <w:rPr>
                  <w:color w:val="FF0000"/>
                  <w:sz w:val="20"/>
                </w:rPr>
                <w:t>physical cell ID</w:t>
              </w:r>
            </w:ins>
            <w:ins w:id="12" w:author="Darcy Tsai" w:date="2021-08-19T18:08:00Z">
              <w:r>
                <w:rPr>
                  <w:color w:val="FF0000"/>
                  <w:sz w:val="20"/>
                </w:rPr>
                <w:t xml:space="preserve"> either</w:t>
              </w:r>
            </w:ins>
            <w:r>
              <w:rPr>
                <w:color w:val="FF0000"/>
                <w:sz w:val="20"/>
              </w:rPr>
              <w:t xml:space="preserve"> </w:t>
            </w:r>
            <w:ins w:id="13" w:author="Darcy Tsai" w:date="2021-08-19T18:07:00Z">
              <w:r>
                <w:rPr>
                  <w:color w:val="FF0000"/>
                  <w:sz w:val="20"/>
                </w:rPr>
                <w:t>the same as</w:t>
              </w:r>
            </w:ins>
            <w:ins w:id="14" w:author="Darcy Tsai" w:date="2021-08-19T18:08:00Z">
              <w:r>
                <w:rPr>
                  <w:color w:val="FF0000"/>
                  <w:sz w:val="20"/>
                </w:rPr>
                <w:t xml:space="preserve"> or different from</w:t>
              </w:r>
            </w:ins>
            <w:ins w:id="15" w:author="Darcy Tsai" w:date="2021-08-19T18:07:00Z">
              <w:r>
                <w:rPr>
                  <w:color w:val="FF0000"/>
                  <w:sz w:val="20"/>
                </w:rPr>
                <w:t xml:space="preserve"> that of the</w:t>
              </w:r>
            </w:ins>
            <w:del w:id="16" w:author="Darcy Tsai" w:date="2021-08-19T18:07:00Z">
              <w:r w:rsidRPr="001E568B" w:rsidDel="00DD7C8A">
                <w:rPr>
                  <w:color w:val="FF0000"/>
                  <w:sz w:val="20"/>
                </w:rPr>
                <w:delText>a</w:delText>
              </w:r>
            </w:del>
            <w:r w:rsidRPr="001E568B">
              <w:rPr>
                <w:color w:val="FF0000"/>
                <w:sz w:val="20"/>
              </w:rPr>
              <w:t xml:space="preserve"> ser</w:t>
            </w:r>
            <w:r>
              <w:rPr>
                <w:color w:val="FF0000"/>
                <w:sz w:val="20"/>
              </w:rPr>
              <w:t>ving cell</w:t>
            </w:r>
            <w:del w:id="17" w:author="Darcy Tsai" w:date="2021-08-19T18:08:00Z">
              <w:r w:rsidDel="00DD7C8A">
                <w:rPr>
                  <w:color w:val="FF0000"/>
                  <w:sz w:val="20"/>
                </w:rPr>
                <w:delText xml:space="preserve"> or a non-serving cell</w:delText>
              </w:r>
              <w:r w:rsidRPr="001E568B" w:rsidDel="00DD7C8A">
                <w:rPr>
                  <w:color w:val="FF0000"/>
                  <w:sz w:val="20"/>
                </w:rPr>
                <w:delText> </w:delText>
              </w:r>
            </w:del>
          </w:p>
          <w:p w14:paraId="3459F89D" w14:textId="77777777" w:rsidR="000045F4" w:rsidRPr="001B0553" w:rsidRDefault="000045F4" w:rsidP="000045F4">
            <w:pPr>
              <w:snapToGrid w:val="0"/>
              <w:jc w:val="both"/>
              <w:rPr>
                <w:sz w:val="18"/>
                <w:szCs w:val="20"/>
              </w:rPr>
            </w:pPr>
          </w:p>
          <w:p w14:paraId="7AA3714E" w14:textId="77777777" w:rsidR="000045F4" w:rsidRDefault="000045F4" w:rsidP="000045F4">
            <w:pPr>
              <w:snapToGrid w:val="0"/>
              <w:jc w:val="both"/>
              <w:rPr>
                <w:sz w:val="18"/>
                <w:szCs w:val="20"/>
              </w:rPr>
            </w:pPr>
          </w:p>
          <w:p w14:paraId="7F5FEC79" w14:textId="6B3EA81B" w:rsidR="000045F4" w:rsidRDefault="000045F4" w:rsidP="000045F4">
            <w:pPr>
              <w:snapToGrid w:val="0"/>
              <w:jc w:val="both"/>
              <w:rPr>
                <w:rFonts w:eastAsia="SimSun"/>
                <w:sz w:val="18"/>
                <w:szCs w:val="18"/>
                <w:lang w:eastAsia="zh-CN"/>
              </w:rPr>
            </w:pPr>
            <w:r w:rsidRPr="001B0553">
              <w:rPr>
                <w:sz w:val="18"/>
                <w:szCs w:val="20"/>
              </w:rPr>
              <w:t>Proposal 2.A.5:</w:t>
            </w:r>
            <w:r>
              <w:rPr>
                <w:sz w:val="18"/>
                <w:szCs w:val="20"/>
              </w:rPr>
              <w:t xml:space="preserve"> Support</w:t>
            </w:r>
          </w:p>
        </w:tc>
      </w:tr>
      <w:tr w:rsidR="00DF6881" w:rsidRPr="00E90D32" w14:paraId="71D1F01C"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DCBC" w14:textId="03CB8278" w:rsidR="00DF6881" w:rsidRPr="001B0553" w:rsidRDefault="00DF6881" w:rsidP="00DF6881">
            <w:pPr>
              <w:snapToGrid w:val="0"/>
              <w:jc w:val="both"/>
              <w:rPr>
                <w:sz w:val="18"/>
                <w:szCs w:val="20"/>
                <w:lang w:eastAsia="zh-CN"/>
              </w:rPr>
            </w:pPr>
            <w:r w:rsidRPr="00214B5E">
              <w:rPr>
                <w:sz w:val="18"/>
                <w:szCs w:val="20"/>
              </w:rPr>
              <w:t>Proposal 2.A.3</w:t>
            </w:r>
            <w:r>
              <w:rPr>
                <w:sz w:val="18"/>
                <w:szCs w:val="20"/>
              </w:rPr>
              <w:t xml:space="preserve">: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w:t>
            </w:r>
            <w:r>
              <w:rPr>
                <w:sz w:val="18"/>
                <w:szCs w:val="20"/>
              </w:rPr>
              <w:lastRenderedPageBreak/>
              <w:t>This seems not the intention of the proposal here. Perhaps I get something wrong, please let me know, if any. Thanks in advance.</w:t>
            </w:r>
          </w:p>
        </w:tc>
      </w:tr>
      <w:tr w:rsidR="00DC5F4C" w:rsidRPr="00E90D32" w14:paraId="5EAAD4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hint="eastAsia"/>
                <w:sz w:val="18"/>
                <w:szCs w:val="18"/>
                <w:lang w:eastAsia="zh-CN"/>
              </w:rPr>
            </w:pPr>
            <w:r>
              <w:rPr>
                <w:rFonts w:eastAsia="SimSun"/>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6ECA36F2" w14:textId="04792199" w:rsidR="00DC5F4C" w:rsidRPr="00214B5E" w:rsidRDefault="00DC5F4C" w:rsidP="00DF6881">
            <w:pPr>
              <w:snapToGrid w:val="0"/>
              <w:jc w:val="both"/>
              <w:rPr>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801EE" w14:textId="77777777" w:rsidR="00753DAB" w:rsidRDefault="00753DAB">
      <w:r>
        <w:separator/>
      </w:r>
    </w:p>
  </w:endnote>
  <w:endnote w:type="continuationSeparator" w:id="0">
    <w:p w14:paraId="3BA00C70" w14:textId="77777777" w:rsidR="00753DAB" w:rsidRDefault="0075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76506" w14:textId="77777777" w:rsidR="00753DAB" w:rsidRDefault="00753DAB">
      <w:r>
        <w:rPr>
          <w:color w:val="000000"/>
        </w:rPr>
        <w:separator/>
      </w:r>
    </w:p>
  </w:footnote>
  <w:footnote w:type="continuationSeparator" w:id="0">
    <w:p w14:paraId="58C06B9F" w14:textId="77777777" w:rsidR="00753DAB" w:rsidRDefault="00753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22C"/>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0DAE"/>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DF1"/>
    <w:rsid w:val="008375B1"/>
    <w:rsid w:val="00837B15"/>
    <w:rsid w:val="00840607"/>
    <w:rsid w:val="00840DA3"/>
    <w:rsid w:val="008411D1"/>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F4C"/>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EF5D0-C3D5-4040-A716-651CAD61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2870</Words>
  <Characters>16365</Characters>
  <Application>Microsoft Office Word</Application>
  <DocSecurity>0</DocSecurity>
  <Lines>136</Lines>
  <Paragraphs>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Convida Wireless</cp:lastModifiedBy>
  <cp:revision>4</cp:revision>
  <cp:lastPrinted>2021-08-18T20:32:00Z</cp:lastPrinted>
  <dcterms:created xsi:type="dcterms:W3CDTF">2021-08-19T12:08:00Z</dcterms:created>
  <dcterms:modified xsi:type="dcterms:W3CDTF">2021-08-19T12:33:00Z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