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77777777" w:rsidR="00D62138" w:rsidRDefault="00D62138" w:rsidP="000B16BD">
            <w:pPr>
              <w:pStyle w:val="B1"/>
              <w:ind w:left="0" w:firstLine="0"/>
              <w:rPr>
                <w:rFonts w:ascii="Times" w:hAnsi="Times" w:cs="Times"/>
                <w:b/>
                <w:bCs/>
                <w:lang w:val="en-US" w:eastAsia="zh-CN"/>
              </w:rPr>
            </w:pPr>
          </w:p>
        </w:tc>
        <w:tc>
          <w:tcPr>
            <w:tcW w:w="7294" w:type="dxa"/>
          </w:tcPr>
          <w:p w14:paraId="74E06017" w14:textId="77777777" w:rsidR="00D62138" w:rsidRDefault="00D62138" w:rsidP="000B16BD">
            <w:pPr>
              <w:pStyle w:val="B1"/>
              <w:ind w:left="0" w:firstLine="0"/>
              <w:rPr>
                <w:rFonts w:ascii="Times" w:hAnsi="Times" w:cs="Times"/>
                <w:b/>
                <w:bCs/>
                <w:lang w:val="en-US" w:eastAsia="zh-CN"/>
              </w:rPr>
            </w:pPr>
          </w:p>
        </w:tc>
      </w:tr>
      <w:tr w:rsidR="00D62138" w14:paraId="4B9BE867" w14:textId="77777777" w:rsidTr="00D62138">
        <w:tc>
          <w:tcPr>
            <w:tcW w:w="2335" w:type="dxa"/>
          </w:tcPr>
          <w:p w14:paraId="694FE982" w14:textId="77777777" w:rsidR="00D62138" w:rsidRDefault="00D62138" w:rsidP="000B16BD">
            <w:pPr>
              <w:pStyle w:val="B1"/>
              <w:ind w:left="0" w:firstLine="0"/>
              <w:rPr>
                <w:rFonts w:ascii="Times" w:hAnsi="Times" w:cs="Times"/>
                <w:b/>
                <w:bCs/>
                <w:lang w:val="en-US" w:eastAsia="zh-CN"/>
              </w:rPr>
            </w:pPr>
          </w:p>
        </w:tc>
        <w:tc>
          <w:tcPr>
            <w:tcW w:w="7294" w:type="dxa"/>
          </w:tcPr>
          <w:p w14:paraId="39BE10EB" w14:textId="77777777" w:rsidR="00D62138" w:rsidRDefault="00D62138" w:rsidP="000B16BD">
            <w:pPr>
              <w:pStyle w:val="B1"/>
              <w:ind w:left="0" w:firstLine="0"/>
              <w:rPr>
                <w:rFonts w:ascii="Times" w:hAnsi="Times" w:cs="Times"/>
                <w:b/>
                <w:bCs/>
                <w:lang w:val="en-US" w:eastAsia="zh-CN"/>
              </w:rPr>
            </w:pP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77777777" w:rsidR="0089083B" w:rsidRDefault="0089083B" w:rsidP="000B16BD">
            <w:pPr>
              <w:pStyle w:val="B1"/>
              <w:ind w:left="0" w:firstLine="0"/>
              <w:rPr>
                <w:rFonts w:ascii="Times" w:hAnsi="Times" w:cs="Times"/>
                <w:b/>
                <w:bCs/>
                <w:lang w:val="en-US" w:eastAsia="zh-CN"/>
              </w:rPr>
            </w:pPr>
          </w:p>
        </w:tc>
        <w:tc>
          <w:tcPr>
            <w:tcW w:w="7294" w:type="dxa"/>
          </w:tcPr>
          <w:p w14:paraId="470707BC" w14:textId="77777777" w:rsidR="0089083B" w:rsidRDefault="0089083B" w:rsidP="000B16BD">
            <w:pPr>
              <w:pStyle w:val="B1"/>
              <w:ind w:left="0" w:firstLine="0"/>
              <w:rPr>
                <w:rFonts w:ascii="Times" w:hAnsi="Times" w:cs="Times"/>
                <w:b/>
                <w:bCs/>
                <w:lang w:val="en-US" w:eastAsia="zh-CN"/>
              </w:rPr>
            </w:pPr>
          </w:p>
        </w:tc>
      </w:tr>
      <w:tr w:rsidR="0089083B" w14:paraId="5DE44977" w14:textId="77777777" w:rsidTr="0089083B">
        <w:tc>
          <w:tcPr>
            <w:tcW w:w="2335" w:type="dxa"/>
          </w:tcPr>
          <w:p w14:paraId="3F58A8B2" w14:textId="77777777" w:rsidR="0089083B" w:rsidRDefault="0089083B" w:rsidP="000B16BD">
            <w:pPr>
              <w:pStyle w:val="B1"/>
              <w:ind w:left="0" w:firstLine="0"/>
              <w:rPr>
                <w:rFonts w:ascii="Times" w:hAnsi="Times" w:cs="Times"/>
                <w:b/>
                <w:bCs/>
                <w:lang w:val="en-US" w:eastAsia="zh-CN"/>
              </w:rPr>
            </w:pPr>
          </w:p>
        </w:tc>
        <w:tc>
          <w:tcPr>
            <w:tcW w:w="7294" w:type="dxa"/>
          </w:tcPr>
          <w:p w14:paraId="474C8703" w14:textId="77777777" w:rsidR="0089083B" w:rsidRDefault="0089083B" w:rsidP="000B16BD">
            <w:pPr>
              <w:pStyle w:val="B1"/>
              <w:ind w:left="0" w:firstLine="0"/>
              <w:rPr>
                <w:rFonts w:ascii="Times" w:hAnsi="Times" w:cs="Times"/>
                <w:b/>
                <w:bCs/>
                <w:lang w:val="en-US" w:eastAsia="zh-CN"/>
              </w:rPr>
            </w:pPr>
          </w:p>
        </w:tc>
      </w:tr>
      <w:tr w:rsidR="0089083B" w14:paraId="34F66C1E" w14:textId="77777777" w:rsidTr="0089083B">
        <w:tc>
          <w:tcPr>
            <w:tcW w:w="2335" w:type="dxa"/>
          </w:tcPr>
          <w:p w14:paraId="19E35018" w14:textId="77777777" w:rsidR="0089083B" w:rsidRDefault="0089083B" w:rsidP="000B16BD">
            <w:pPr>
              <w:pStyle w:val="B1"/>
              <w:ind w:left="0" w:firstLine="0"/>
              <w:rPr>
                <w:rFonts w:ascii="Times" w:hAnsi="Times" w:cs="Times"/>
                <w:b/>
                <w:bCs/>
                <w:lang w:val="en-US" w:eastAsia="zh-CN"/>
              </w:rPr>
            </w:pPr>
          </w:p>
        </w:tc>
        <w:tc>
          <w:tcPr>
            <w:tcW w:w="7294" w:type="dxa"/>
          </w:tcPr>
          <w:p w14:paraId="408477D8" w14:textId="77777777" w:rsidR="0089083B" w:rsidRDefault="0089083B" w:rsidP="000B16BD">
            <w:pPr>
              <w:pStyle w:val="B1"/>
              <w:ind w:left="0" w:firstLine="0"/>
              <w:rPr>
                <w:rFonts w:ascii="Times" w:hAnsi="Times" w:cs="Times"/>
                <w:b/>
                <w:bCs/>
                <w:lang w:val="en-US" w:eastAsia="zh-CN"/>
              </w:rPr>
            </w:pPr>
          </w:p>
        </w:tc>
      </w:tr>
    </w:tbl>
    <w:p w14:paraId="5BC06FA2" w14:textId="77777777" w:rsidR="0089083B" w:rsidRPr="00D62138"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lang w:val="en-US" w:eastAsia="zh-CN"/>
        </w:rPr>
        <mc:AlternateContent>
          <mc:Choice Requires="wpg">
            <w:drawing>
              <wp:anchor distT="0" distB="0" distL="114300" distR="114300" simplePos="0" relativeHeight="251659264" behindDoc="0" locked="0" layoutInCell="1" allowOverlap="1" wp14:anchorId="343A0E0D" wp14:editId="3383F7D5">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3"/>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0073BE0" id="Group 11" o:spid="_x0000_s1026" style="position:absolute;margin-left:0;margin-top:-.25pt;width:390.45pt;height:245.9pt;z-index:251659264"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4"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77777777" w:rsidR="00B965AC" w:rsidRDefault="00B965AC" w:rsidP="008E2C2D">
            <w:pPr>
              <w:pStyle w:val="B1"/>
              <w:ind w:left="0" w:firstLine="0"/>
              <w:rPr>
                <w:rFonts w:ascii="Times" w:hAnsi="Times" w:cs="Times"/>
                <w:b/>
                <w:bCs/>
                <w:lang w:val="en-US" w:eastAsia="zh-CN"/>
              </w:rPr>
            </w:pPr>
          </w:p>
        </w:tc>
        <w:tc>
          <w:tcPr>
            <w:tcW w:w="7294" w:type="dxa"/>
          </w:tcPr>
          <w:p w14:paraId="4F775C11" w14:textId="77777777" w:rsidR="00B965AC" w:rsidRDefault="00B965AC" w:rsidP="008E2C2D">
            <w:pPr>
              <w:pStyle w:val="B1"/>
              <w:ind w:left="0" w:firstLine="0"/>
              <w:rPr>
                <w:rFonts w:ascii="Times" w:hAnsi="Times" w:cs="Times"/>
                <w:b/>
                <w:bCs/>
                <w:lang w:val="en-US" w:eastAsia="zh-CN"/>
              </w:rPr>
            </w:pPr>
          </w:p>
        </w:tc>
      </w:tr>
      <w:tr w:rsidR="00C65DFB" w14:paraId="7F0B45E0" w14:textId="77777777" w:rsidTr="00B965AC">
        <w:tc>
          <w:tcPr>
            <w:tcW w:w="2335" w:type="dxa"/>
          </w:tcPr>
          <w:p w14:paraId="684AAB19" w14:textId="77777777" w:rsidR="00C65DFB" w:rsidRDefault="00C65DFB" w:rsidP="008E2C2D">
            <w:pPr>
              <w:pStyle w:val="B1"/>
              <w:ind w:left="0" w:firstLine="0"/>
              <w:rPr>
                <w:rFonts w:ascii="Times" w:hAnsi="Times" w:cs="Times"/>
                <w:b/>
                <w:bCs/>
                <w:lang w:val="en-US" w:eastAsia="zh-CN"/>
              </w:rPr>
            </w:pPr>
          </w:p>
        </w:tc>
        <w:tc>
          <w:tcPr>
            <w:tcW w:w="7294" w:type="dxa"/>
          </w:tcPr>
          <w:p w14:paraId="1392BA8C" w14:textId="77777777" w:rsidR="00C65DFB" w:rsidRDefault="00C65DFB" w:rsidP="008E2C2D">
            <w:pPr>
              <w:pStyle w:val="B1"/>
              <w:ind w:left="0" w:firstLine="0"/>
              <w:rPr>
                <w:rFonts w:ascii="Times" w:hAnsi="Times" w:cs="Times"/>
                <w:b/>
                <w:bCs/>
                <w:lang w:val="en-US" w:eastAsia="zh-CN"/>
              </w:rPr>
            </w:pP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77777777" w:rsidR="00C65DFB" w:rsidRDefault="00C65DFB" w:rsidP="000B16BD">
            <w:pPr>
              <w:pStyle w:val="B1"/>
              <w:ind w:left="0" w:firstLine="0"/>
              <w:rPr>
                <w:rFonts w:ascii="Times" w:hAnsi="Times" w:cs="Times"/>
                <w:lang w:val="en-US" w:eastAsia="zh-CN"/>
              </w:rPr>
            </w:pPr>
          </w:p>
        </w:tc>
        <w:tc>
          <w:tcPr>
            <w:tcW w:w="7294" w:type="dxa"/>
          </w:tcPr>
          <w:p w14:paraId="62A1A103" w14:textId="77777777" w:rsidR="00C65DFB" w:rsidRDefault="00C65DFB" w:rsidP="000B16BD">
            <w:pPr>
              <w:pStyle w:val="B1"/>
              <w:ind w:left="0" w:firstLine="0"/>
              <w:rPr>
                <w:rFonts w:ascii="Times" w:hAnsi="Times" w:cs="Times"/>
                <w:lang w:val="en-US" w:eastAsia="zh-CN"/>
              </w:rPr>
            </w:pPr>
          </w:p>
        </w:tc>
      </w:tr>
      <w:tr w:rsidR="00C65DFB" w14:paraId="750FAB84" w14:textId="77777777" w:rsidTr="00002603">
        <w:tc>
          <w:tcPr>
            <w:tcW w:w="2335" w:type="dxa"/>
          </w:tcPr>
          <w:p w14:paraId="0B3A7553" w14:textId="77777777" w:rsidR="00C65DFB" w:rsidRDefault="00C65DFB" w:rsidP="000B16BD">
            <w:pPr>
              <w:pStyle w:val="B1"/>
              <w:ind w:left="0" w:firstLine="0"/>
              <w:rPr>
                <w:rFonts w:ascii="Times" w:hAnsi="Times" w:cs="Times"/>
                <w:lang w:val="en-US" w:eastAsia="zh-CN"/>
              </w:rPr>
            </w:pPr>
          </w:p>
        </w:tc>
        <w:tc>
          <w:tcPr>
            <w:tcW w:w="7294" w:type="dxa"/>
          </w:tcPr>
          <w:p w14:paraId="5CB3B410" w14:textId="77777777" w:rsidR="00C65DFB" w:rsidRDefault="00C65DFB" w:rsidP="000B16BD">
            <w:pPr>
              <w:pStyle w:val="B1"/>
              <w:ind w:left="0" w:firstLine="0"/>
              <w:rPr>
                <w:rFonts w:ascii="Times" w:hAnsi="Times" w:cs="Times"/>
                <w:lang w:val="en-US" w:eastAsia="zh-CN"/>
              </w:rPr>
            </w:pP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77777777" w:rsidR="00002603" w:rsidRDefault="00002603" w:rsidP="000B16BD">
            <w:pPr>
              <w:pStyle w:val="B1"/>
              <w:ind w:left="0" w:firstLine="0"/>
              <w:rPr>
                <w:rFonts w:ascii="Times" w:hAnsi="Times" w:cs="Times"/>
                <w:b/>
                <w:bCs/>
                <w:lang w:val="en-US" w:eastAsia="zh-CN"/>
              </w:rPr>
            </w:pPr>
          </w:p>
        </w:tc>
        <w:tc>
          <w:tcPr>
            <w:tcW w:w="7290" w:type="dxa"/>
          </w:tcPr>
          <w:p w14:paraId="5CE612FC" w14:textId="77777777" w:rsidR="00002603" w:rsidRDefault="00002603" w:rsidP="000B16BD">
            <w:pPr>
              <w:pStyle w:val="B1"/>
              <w:ind w:left="0" w:firstLine="0"/>
              <w:rPr>
                <w:rFonts w:ascii="Times" w:hAnsi="Times" w:cs="Times"/>
                <w:b/>
                <w:bCs/>
                <w:lang w:val="en-US" w:eastAsia="zh-CN"/>
              </w:rPr>
            </w:pPr>
          </w:p>
        </w:tc>
      </w:tr>
      <w:tr w:rsidR="00002603" w14:paraId="36385172" w14:textId="77777777" w:rsidTr="00002603">
        <w:tc>
          <w:tcPr>
            <w:tcW w:w="2335" w:type="dxa"/>
          </w:tcPr>
          <w:p w14:paraId="4530A7DC" w14:textId="77777777" w:rsidR="00002603" w:rsidRDefault="00002603" w:rsidP="000B16BD">
            <w:pPr>
              <w:pStyle w:val="B1"/>
              <w:ind w:left="0" w:firstLine="0"/>
              <w:rPr>
                <w:rFonts w:ascii="Times" w:hAnsi="Times" w:cs="Times"/>
                <w:b/>
                <w:bCs/>
                <w:lang w:val="en-US" w:eastAsia="zh-CN"/>
              </w:rPr>
            </w:pPr>
          </w:p>
        </w:tc>
        <w:tc>
          <w:tcPr>
            <w:tcW w:w="7290" w:type="dxa"/>
          </w:tcPr>
          <w:p w14:paraId="76A47437" w14:textId="77777777" w:rsidR="00002603" w:rsidRDefault="00002603" w:rsidP="000B16BD">
            <w:pPr>
              <w:pStyle w:val="B1"/>
              <w:ind w:left="0" w:firstLine="0"/>
              <w:rPr>
                <w:rFonts w:ascii="Times" w:hAnsi="Times" w:cs="Times"/>
                <w:b/>
                <w:bCs/>
                <w:lang w:val="en-US" w:eastAsia="zh-CN"/>
              </w:rPr>
            </w:pP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lastRenderedPageBreak/>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lastRenderedPageBreak/>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w:t>
            </w:r>
            <w:r>
              <w:rPr>
                <w:color w:val="FF0000"/>
              </w:rPr>
              <w:lastRenderedPageBreak/>
              <w:t xml:space="preserve">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lastRenderedPageBreak/>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lastRenderedPageBreak/>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5"/>
      <w:footerReference w:type="even" r:id="rId16"/>
      <w:footerReference w:type="default" r:id="rId17"/>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462C3" w14:textId="77777777" w:rsidR="00E5137B" w:rsidRDefault="00E5137B">
      <w:r>
        <w:separator/>
      </w:r>
    </w:p>
  </w:endnote>
  <w:endnote w:type="continuationSeparator" w:id="0">
    <w:p w14:paraId="5433BD13" w14:textId="77777777" w:rsidR="00E5137B" w:rsidRDefault="00E5137B">
      <w:r>
        <w:continuationSeparator/>
      </w:r>
    </w:p>
  </w:endnote>
  <w:endnote w:type="continuationNotice" w:id="1">
    <w:p w14:paraId="18C73ECC" w14:textId="77777777" w:rsidR="00E5137B" w:rsidRDefault="00E513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9205D2" w:rsidRDefault="009205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205D2" w:rsidRDefault="009205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15C01ADE" w:rsidR="009205D2" w:rsidRDefault="009205D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37DC" w14:textId="77777777" w:rsidR="00E5137B" w:rsidRDefault="00E5137B">
      <w:r>
        <w:separator/>
      </w:r>
    </w:p>
  </w:footnote>
  <w:footnote w:type="continuationSeparator" w:id="0">
    <w:p w14:paraId="059A075D" w14:textId="77777777" w:rsidR="00E5137B" w:rsidRDefault="00E5137B">
      <w:r>
        <w:continuationSeparator/>
      </w:r>
    </w:p>
  </w:footnote>
  <w:footnote w:type="continuationNotice" w:id="1">
    <w:p w14:paraId="3FA2FFE8" w14:textId="77777777" w:rsidR="00E5137B" w:rsidRDefault="00E513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9205D2" w:rsidRDefault="009205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82D"/>
    <w:rsid w:val="00E35AC6"/>
    <w:rsid w:val="00E35AE0"/>
    <w:rsid w:val="00E35F47"/>
    <w:rsid w:val="00E36306"/>
    <w:rsid w:val="00E373C6"/>
    <w:rsid w:val="00E374D7"/>
    <w:rsid w:val="00E377BF"/>
    <w:rsid w:val="00E379BC"/>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98865-319C-45D0-B307-07F081710C13}">
  <ds:schemaRefs>
    <ds:schemaRef ds:uri="http://schemas.openxmlformats.org/officeDocument/2006/bibliography"/>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EADF800A-6B39-4616-8E28-EF5EE51A06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108</TotalTime>
  <Pages>8</Pages>
  <Words>2819</Words>
  <Characters>15255</Characters>
  <Application>Microsoft Office Word</Application>
  <DocSecurity>0</DocSecurity>
  <Lines>127</Lines>
  <Paragraphs>36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43</cp:revision>
  <cp:lastPrinted>2016-09-30T01:19:00Z</cp:lastPrinted>
  <dcterms:created xsi:type="dcterms:W3CDTF">2021-08-16T05:56:00Z</dcterms:created>
  <dcterms:modified xsi:type="dcterms:W3CDTF">2021-08-16T07:44:00Z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