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AF1798"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HW/HiSi</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HW/HiSi</w:t>
            </w:r>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4E597E79"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HW/HiSi)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r w:rsidRPr="00B72C86">
        <w:rPr>
          <w:b/>
          <w:bCs/>
          <w:highlight w:val="yellow"/>
          <w:lang w:eastAsia="zh-CN"/>
        </w:rPr>
        <w:t>check, if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Below I copy the list of companies from Round 1, but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B72C86">
        <w:rPr>
          <w:b/>
          <w:bCs/>
          <w:sz w:val="22"/>
          <w:szCs w:val="22"/>
          <w:highlight w:val="yellow"/>
          <w:lang w:val="en-US"/>
        </w:rPr>
        <w:t>Proposal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HW/HiSi,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 xml:space="preserve">We can agree to proposal 1 without the “R16” and with a sub-bullet capturing that there is no consensus in RAN1 for whether or not the </w:t>
            </w:r>
            <w:bookmarkStart w:id="2" w:name="_GoBack"/>
            <w:bookmarkEnd w:id="2"/>
            <w:r>
              <w:rPr>
                <w:iCs/>
                <w:kern w:val="2"/>
                <w:lang w:eastAsia="zh-CN"/>
              </w:rPr>
              <w:t>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633D620A" w14:textId="77777777" w:rsidR="00B72C86" w:rsidRDefault="00B72C86"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0E28" w14:textId="77777777" w:rsidR="00AF1798" w:rsidRDefault="00AF1798">
      <w:r>
        <w:separator/>
      </w:r>
    </w:p>
  </w:endnote>
  <w:endnote w:type="continuationSeparator" w:id="0">
    <w:p w14:paraId="04251C80" w14:textId="77777777" w:rsidR="00AF1798" w:rsidRDefault="00AF1798">
      <w:r>
        <w:continuationSeparator/>
      </w:r>
    </w:p>
  </w:endnote>
  <w:endnote w:type="continuationNotice" w:id="1">
    <w:p w14:paraId="3D0FF514" w14:textId="77777777" w:rsidR="00AF1798" w:rsidRDefault="00AF1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E449" w14:textId="77777777" w:rsidR="00AF1798" w:rsidRDefault="00AF1798">
      <w:r>
        <w:separator/>
      </w:r>
    </w:p>
  </w:footnote>
  <w:footnote w:type="continuationSeparator" w:id="0">
    <w:p w14:paraId="40B6256B" w14:textId="77777777" w:rsidR="00AF1798" w:rsidRDefault="00AF1798">
      <w:r>
        <w:continuationSeparator/>
      </w:r>
    </w:p>
  </w:footnote>
  <w:footnote w:type="continuationNotice" w:id="1">
    <w:p w14:paraId="21863ECB" w14:textId="77777777" w:rsidR="00AF1798" w:rsidRDefault="00AF17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86"/>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AEFBD98-4FF7-4B26-84FF-2D477596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2654</Words>
  <Characters>15129</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2</cp:revision>
  <cp:lastPrinted>2016-06-20T20:35:00Z</cp:lastPrinted>
  <dcterms:created xsi:type="dcterms:W3CDTF">2021-08-19T20:21:00Z</dcterms:created>
  <dcterms:modified xsi:type="dcterms:W3CDTF">2021-08-19T20:21:00Z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