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FF741D"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7766DB5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142FCE9" w14:textId="05EDA472" w:rsidR="004C1C85" w:rsidRPr="007515A1" w:rsidRDefault="007515A1" w:rsidP="007515A1">
            <w:pPr>
              <w:widowControl w:val="0"/>
              <w:spacing w:beforeLines="50" w:before="120"/>
              <w:rPr>
                <w:bCs/>
                <w:color w:val="0070C0"/>
                <w:lang w:eastAsia="zh-CN"/>
              </w:rPr>
            </w:pPr>
            <w:r>
              <w:rPr>
                <w:bCs/>
                <w:color w:val="0070C0"/>
                <w:lang w:eastAsia="zh-CN"/>
              </w:rPr>
              <w:t xml:space="preserve">Specifically, as PUCCH repetition due to the introduction of coverage enhancements may become more important &amp; useful, from network vendor and network operation perspective it would be crucial and help already if R16+ UEs would adopt the same understanding.  </w:t>
            </w:r>
            <w:r>
              <w:rPr>
                <w:bCs/>
                <w:lang w:eastAsia="zh-CN"/>
              </w:rPr>
              <w:t xml:space="preserve"> </w:t>
            </w:r>
            <w:r w:rsidR="002A20A6">
              <w:rPr>
                <w:bCs/>
                <w:lang w:eastAsia="zh-CN"/>
              </w:rPr>
              <w:t xml:space="preserv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hint="eastAsia"/>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hint="eastAsia"/>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ACC4" w14:textId="77777777" w:rsidR="00FF741D" w:rsidRDefault="00FF741D">
      <w:r>
        <w:separator/>
      </w:r>
    </w:p>
  </w:endnote>
  <w:endnote w:type="continuationSeparator" w:id="0">
    <w:p w14:paraId="42E94830" w14:textId="77777777" w:rsidR="00FF741D" w:rsidRDefault="00FF741D">
      <w:r>
        <w:continuationSeparator/>
      </w:r>
    </w:p>
  </w:endnote>
  <w:endnote w:type="continuationNotice" w:id="1">
    <w:p w14:paraId="65A0C47B" w14:textId="77777777" w:rsidR="00FF741D" w:rsidRDefault="00FF74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覈ࢱ"/>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CCB0" w14:textId="77777777" w:rsidR="00FF741D" w:rsidRDefault="00FF741D">
      <w:r>
        <w:separator/>
      </w:r>
    </w:p>
  </w:footnote>
  <w:footnote w:type="continuationSeparator" w:id="0">
    <w:p w14:paraId="32249BD7" w14:textId="77777777" w:rsidR="00FF741D" w:rsidRDefault="00FF741D">
      <w:r>
        <w:continuationSeparator/>
      </w:r>
    </w:p>
  </w:footnote>
  <w:footnote w:type="continuationNotice" w:id="1">
    <w:p w14:paraId="34460C78" w14:textId="77777777" w:rsidR="00FF741D" w:rsidRDefault="00FF74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5A1"/>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313BCCCB-3551-4B54-985B-5BF836B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3</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Wei Yang</cp:lastModifiedBy>
  <cp:revision>2</cp:revision>
  <cp:lastPrinted>2016-06-20T20:35:00Z</cp:lastPrinted>
  <dcterms:created xsi:type="dcterms:W3CDTF">2021-08-17T20:37:00Z</dcterms:created>
  <dcterms:modified xsi:type="dcterms:W3CDTF">2021-08-17T20:37:00Z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