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ListParagraph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r>
        <w:rPr>
          <w:i/>
          <w:iCs/>
          <w:sz w:val="20"/>
          <w:szCs w:val="20"/>
        </w:rPr>
        <w:t>n+k</w:t>
      </w:r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FFS: The configurable value range of K1 needs to be extended, and impact to related DCI field bitwidth.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Consistent behavior between slot-based and sub-slot-based HARQ-ACK feedback timing</w:t>
      </w:r>
    </w:p>
    <w:p w14:paraId="6B386069" w14:textId="2319EBCF" w:rsidR="007C1C89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  <w:lang w:eastAsia="en-US"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Caption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Heading2"/>
      </w:pPr>
      <w:r>
        <w:t>3.1</w:t>
      </w:r>
      <w:r>
        <w:tab/>
        <w:t>First Round of Email Discussion</w:t>
      </w:r>
    </w:p>
    <w:p w14:paraId="235D1BA5" w14:textId="4FC53599" w:rsidR="007169F3" w:rsidRPr="00DE5865" w:rsidRDefault="00DE5865" w:rsidP="007169F3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</w:t>
      </w:r>
      <w:r w:rsidR="007169F3" w:rsidRPr="007169F3">
        <w:rPr>
          <w:sz w:val="20"/>
          <w:szCs w:val="20"/>
        </w:rPr>
        <w:t xml:space="preserve"> </w:t>
      </w:r>
      <w:r w:rsidR="007169F3" w:rsidRPr="00DE5865">
        <w:rPr>
          <w:sz w:val="20"/>
          <w:szCs w:val="20"/>
        </w:rPr>
        <w:t>ACK timing in Rel-16 with sub-slot-based HARQ-ACK feedback,</w:t>
      </w:r>
    </w:p>
    <w:p w14:paraId="45FA4F99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2ECC8570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497B8009" w14:textId="3465842D" w:rsidR="00221E7A" w:rsidRDefault="007169F3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>Companies please indicate which option</w:t>
      </w:r>
      <w:r w:rsidR="00E97A77">
        <w:rPr>
          <w:b/>
          <w:bCs/>
          <w:sz w:val="20"/>
          <w:szCs w:val="21"/>
        </w:rPr>
        <w:t xml:space="preserve"> you support.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lastRenderedPageBreak/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7382F862" w:rsidR="00221E7A" w:rsidRPr="00362DEA" w:rsidRDefault="00142A0B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HW/HiSi (slight preference)</w:t>
            </w:r>
            <w:r w:rsidR="00DE3239">
              <w:rPr>
                <w:rFonts w:eastAsiaTheme="minorEastAsia"/>
                <w:sz w:val="20"/>
                <w:szCs w:val="21"/>
              </w:rPr>
              <w:t>, DOCOMO</w:t>
            </w:r>
            <w:r w:rsidR="00362DEA"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 w:rsidR="00362DEA">
              <w:rPr>
                <w:rFonts w:eastAsia="MS Mincho"/>
                <w:sz w:val="20"/>
                <w:szCs w:val="21"/>
                <w:lang w:eastAsia="ja-JP"/>
              </w:rPr>
              <w:t xml:space="preserve"> Sharp</w:t>
            </w:r>
            <w:r w:rsidR="007F2E61">
              <w:rPr>
                <w:rFonts w:eastAsia="MS Mincho"/>
                <w:sz w:val="20"/>
                <w:szCs w:val="21"/>
                <w:lang w:eastAsia="ja-JP"/>
              </w:rPr>
              <w:t>, Intel</w:t>
            </w:r>
            <w:r w:rsidR="00FE63C2">
              <w:rPr>
                <w:rFonts w:eastAsia="MS Mincho"/>
                <w:sz w:val="20"/>
                <w:szCs w:val="21"/>
                <w:lang w:eastAsia="ja-JP"/>
              </w:rPr>
              <w:t>, ZTE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5EA53E2C" w:rsidR="00221E7A" w:rsidRPr="00706EA6" w:rsidRDefault="007F2E61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</w:t>
            </w:r>
            <w:r w:rsidR="00110C81">
              <w:rPr>
                <w:rFonts w:eastAsiaTheme="minorEastAsia"/>
                <w:sz w:val="20"/>
                <w:szCs w:val="21"/>
                <w:lang w:val="en"/>
              </w:rPr>
              <w:t>, Apple</w:t>
            </w:r>
            <w:r w:rsidR="00F4105B">
              <w:rPr>
                <w:rFonts w:eastAsiaTheme="minorEastAsia"/>
                <w:sz w:val="20"/>
                <w:szCs w:val="21"/>
                <w:lang w:val="en"/>
              </w:rPr>
              <w:t>, Ericsson</w:t>
            </w:r>
            <w:r w:rsidR="002C44A5">
              <w:rPr>
                <w:rFonts w:eastAsiaTheme="minorEastAsia"/>
                <w:sz w:val="20"/>
                <w:szCs w:val="21"/>
                <w:lang w:val="en"/>
              </w:rPr>
              <w:t>, MTK</w:t>
            </w: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On the type-1 CB, Rel-16 doesn’t support sub-slot based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HW/HiSi</w:t>
            </w:r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1266D143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D</w:t>
            </w:r>
            <w:r>
              <w:rPr>
                <w:rFonts w:eastAsia="MS Mincho"/>
                <w:sz w:val="20"/>
                <w:szCs w:val="21"/>
                <w:lang w:eastAsia="ja-JP"/>
              </w:rPr>
              <w:t>OCOMO</w:t>
            </w:r>
          </w:p>
        </w:tc>
        <w:tc>
          <w:tcPr>
            <w:tcW w:w="8374" w:type="dxa"/>
          </w:tcPr>
          <w:p w14:paraId="37283128" w14:textId="641DD532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ption 1 should be supported based on the </w:t>
            </w:r>
            <w:r w:rsidRPr="00DE3239">
              <w:rPr>
                <w:rFonts w:eastAsia="MS Mincho"/>
                <w:sz w:val="20"/>
                <w:szCs w:val="21"/>
                <w:lang w:eastAsia="ja-JP"/>
              </w:rPr>
              <w:t>RAN1#97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agreement. We need to revert the agreement to support Option 2.</w:t>
            </w:r>
          </w:p>
        </w:tc>
      </w:tr>
      <w:tr w:rsidR="00705A00" w14:paraId="44282B00" w14:textId="77777777">
        <w:tc>
          <w:tcPr>
            <w:tcW w:w="1255" w:type="dxa"/>
          </w:tcPr>
          <w:p w14:paraId="67996C20" w14:textId="346B5352" w:rsidR="00705A00" w:rsidRPr="00705A00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>Samsung</w:t>
            </w:r>
          </w:p>
        </w:tc>
        <w:tc>
          <w:tcPr>
            <w:tcW w:w="8374" w:type="dxa"/>
          </w:tcPr>
          <w:p w14:paraId="03D60270" w14:textId="2ECE238C" w:rsidR="0089677E" w:rsidRPr="0089677E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 xml:space="preserve">At least, our preference is to have unified design regardless of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whether slot-based or sub-slot-based HARQ-ACK feedback is configured. So, before deciding which option is supported for sub-slot based HARQ-ACK feedback, we would like to hear other companies’ view on this aspect firstly.</w:t>
            </w:r>
            <w:r w:rsidR="008B3331"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</w:p>
        </w:tc>
      </w:tr>
      <w:tr w:rsidR="00362DEA" w14:paraId="14C9D763" w14:textId="77777777">
        <w:tc>
          <w:tcPr>
            <w:tcW w:w="1255" w:type="dxa"/>
          </w:tcPr>
          <w:p w14:paraId="111A041D" w14:textId="08E3261A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S</w:t>
            </w:r>
            <w:r>
              <w:rPr>
                <w:rFonts w:eastAsia="MS Mincho"/>
                <w:sz w:val="20"/>
                <w:szCs w:val="21"/>
                <w:lang w:eastAsia="ja-JP"/>
              </w:rPr>
              <w:t>harp</w:t>
            </w:r>
          </w:p>
        </w:tc>
        <w:tc>
          <w:tcPr>
            <w:tcW w:w="8374" w:type="dxa"/>
          </w:tcPr>
          <w:p w14:paraId="2E1C7539" w14:textId="0D396C2B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>ption 2 increases latency for sub-slot based HARQ-ACK reporting. Option 1 reduces the latency.</w:t>
            </w: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72E64674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Intel</w:t>
            </w:r>
          </w:p>
        </w:tc>
        <w:tc>
          <w:tcPr>
            <w:tcW w:w="8374" w:type="dxa"/>
          </w:tcPr>
          <w:p w14:paraId="16507CC1" w14:textId="5D6118DB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see the motivation behind Option 2 and do not see the latency impact as significant. However, given that we have an explicit agreement from RAN1 #97 that points towards Option 1, it would be appropriate to go with Option 1.</w:t>
            </w: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70AB2C10" w:rsidR="00E2209E" w:rsidRDefault="00110C8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Apple</w:t>
            </w:r>
          </w:p>
        </w:tc>
        <w:tc>
          <w:tcPr>
            <w:tcW w:w="8374" w:type="dxa"/>
          </w:tcPr>
          <w:p w14:paraId="2DB6A697" w14:textId="1B4A2D84" w:rsidR="00E2209E" w:rsidRDefault="00F874A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We prefer Option 2 because we think the latency impact is minimal in practical network. </w:t>
            </w:r>
            <w:r w:rsidR="00DA34DC">
              <w:rPr>
                <w:rFonts w:eastAsia="Malgun Gothic"/>
                <w:sz w:val="20"/>
                <w:szCs w:val="21"/>
                <w:lang w:eastAsia="ko-KR"/>
              </w:rPr>
              <w:t xml:space="preserve">In most cases, we would not see any difference in the latency. Only in the rare cases when the conditions are perfectly lined up, we see some impact on latency. </w:t>
            </w:r>
            <w:r w:rsidR="00D754EA">
              <w:rPr>
                <w:rFonts w:eastAsia="Malgun Gothic"/>
                <w:sz w:val="20"/>
                <w:szCs w:val="21"/>
                <w:lang w:eastAsia="ko-KR"/>
              </w:rPr>
              <w:t>Option 2 on the other hand allows a unified design between slot-based and sub-slot-based HARQ-ACK feedback.</w:t>
            </w: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385C449F" w:rsidR="00FE3727" w:rsidRDefault="00DA4BD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Ericsson</w:t>
            </w:r>
          </w:p>
        </w:tc>
        <w:tc>
          <w:tcPr>
            <w:tcW w:w="8374" w:type="dxa"/>
          </w:tcPr>
          <w:p w14:paraId="54A1A2AA" w14:textId="77777777" w:rsidR="00FE3727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Option 2. </w:t>
            </w:r>
          </w:p>
          <w:p w14:paraId="424251F2" w14:textId="3445B04E" w:rsidR="0036326F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The reason for the CR is not only for Type-1 HAR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-ACK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 xml:space="preserve"> CB. It is also needed for Type-2 CB in order to 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have a proper timing for CB construction. Hence, the arguments related to Type-1 HAR</w:t>
            </w:r>
            <w:r w:rsidR="005A56F3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-ACK CB for Rel-16 are not justified</w:t>
            </w:r>
            <w:r w:rsidR="004453C8">
              <w:rPr>
                <w:rFonts w:eastAsia="Malgun Gothic"/>
                <w:sz w:val="20"/>
                <w:szCs w:val="21"/>
                <w:lang w:eastAsia="ko-KR"/>
              </w:rPr>
              <w:t xml:space="preserve"> since Rel-16 does not support Type-1 CB for sub-slot.</w:t>
            </w:r>
          </w:p>
          <w:p w14:paraId="0BA40090" w14:textId="77777777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5BA5361B" w14:textId="77777777" w:rsidR="006717E0" w:rsidRDefault="004453C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The argument from latency is not clear to us. Why 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should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Option 2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 results in higher latency than Option 1?</w:t>
            </w:r>
          </w:p>
          <w:p w14:paraId="2AAB3FAB" w14:textId="77777777" w:rsidR="006717E0" w:rsidRDefault="006717E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9C9E739" w14:textId="6C19890A" w:rsidR="002874CD" w:rsidRDefault="00D958E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lastRenderedPageBreak/>
              <w:t xml:space="preserve"> 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>If D</w:t>
            </w:r>
            <w:r w:rsidR="0074733E">
              <w:rPr>
                <w:rFonts w:eastAsia="Malgun Gothic"/>
                <w:sz w:val="20"/>
                <w:szCs w:val="21"/>
                <w:lang w:eastAsia="ko-KR"/>
              </w:rPr>
              <w:t>L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is on 15 kHz, and UL on </w:t>
            </w:r>
            <w:r w:rsidR="003B0B06">
              <w:rPr>
                <w:rFonts w:eastAsia="Malgun Gothic"/>
                <w:sz w:val="20"/>
                <w:szCs w:val="21"/>
                <w:lang w:eastAsia="ko-KR"/>
              </w:rPr>
              <w:t>15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kHz configured with sub-slot of 7 symbols, we run in the same issue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. </w:t>
            </w:r>
            <w:r w:rsidR="00954073">
              <w:rPr>
                <w:rFonts w:eastAsia="Malgun Gothic"/>
                <w:sz w:val="20"/>
                <w:szCs w:val="21"/>
                <w:lang w:eastAsia="ko-KR"/>
              </w:rPr>
              <w:t xml:space="preserve">The codebook construction would be 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>rely on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 the duration and position of any scheduled PDSCH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 xml:space="preserve"> in a slot.</w:t>
            </w:r>
          </w:p>
          <w:p w14:paraId="21A49E74" w14:textId="4D8FF33D" w:rsidR="002874CD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Hopefully the NW vendors consider this complexity.</w:t>
            </w:r>
          </w:p>
          <w:p w14:paraId="2673581C" w14:textId="26EAE73E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A764DFA" w14:textId="15DFD5D8" w:rsidR="003A0834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Lastly, it is not preferred to have different </w:t>
            </w:r>
            <w:r w:rsidR="006717E0">
              <w:rPr>
                <w:rFonts w:eastAsia="Malgun Gothic"/>
                <w:sz w:val="20"/>
                <w:szCs w:val="21"/>
                <w:lang w:eastAsia="ko-KR"/>
              </w:rPr>
              <w:t>approaches. Unified solution</w:t>
            </w:r>
            <w:r w:rsidR="0067297C">
              <w:rPr>
                <w:rFonts w:eastAsia="Malgun Gothic"/>
                <w:sz w:val="20"/>
                <w:szCs w:val="21"/>
                <w:lang w:eastAsia="ko-KR"/>
              </w:rPr>
              <w:t xml:space="preserve"> is always preferred.</w:t>
            </w:r>
          </w:p>
        </w:tc>
      </w:tr>
      <w:tr w:rsidR="00FE63C2" w14:paraId="68656991" w14:textId="77777777" w:rsidTr="00706EA6">
        <w:tc>
          <w:tcPr>
            <w:tcW w:w="1255" w:type="dxa"/>
          </w:tcPr>
          <w:p w14:paraId="3CD663FC" w14:textId="556D58A0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lastRenderedPageBreak/>
              <w:t>Z</w:t>
            </w:r>
            <w:r>
              <w:rPr>
                <w:rFonts w:eastAsiaTheme="minorEastAsia"/>
                <w:sz w:val="20"/>
                <w:szCs w:val="21"/>
              </w:rPr>
              <w:t>TE</w:t>
            </w:r>
          </w:p>
        </w:tc>
        <w:tc>
          <w:tcPr>
            <w:tcW w:w="8374" w:type="dxa"/>
          </w:tcPr>
          <w:p w14:paraId="07C69597" w14:textId="19A9A10E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Slightly prefer </w:t>
            </w: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 xml:space="preserve">ption 1. </w:t>
            </w: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06D7578C" w:rsidR="00DE3307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MTK</w:t>
            </w:r>
          </w:p>
        </w:tc>
        <w:tc>
          <w:tcPr>
            <w:tcW w:w="8374" w:type="dxa"/>
          </w:tcPr>
          <w:p w14:paraId="64E3F8B6" w14:textId="4E564516" w:rsidR="00DE3307" w:rsidRDefault="002C44A5" w:rsidP="002C44A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tend to agree with Ericsson and prefer Option 2. To us, it is better to apply a unified solution and pursue l</w:t>
            </w:r>
            <w:r w:rsidRPr="002C44A5">
              <w:rPr>
                <w:rFonts w:eastAsia="Malgun Gothic"/>
                <w:sz w:val="20"/>
                <w:szCs w:val="21"/>
                <w:lang w:eastAsia="ko-KR"/>
              </w:rPr>
              <w:t>ess gNB/UE complexity and less specification impact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, although we understand Option 1 fits better with previous RAN1 agreement in RAN1 #97.</w:t>
            </w:r>
          </w:p>
        </w:tc>
      </w:tr>
      <w:tr w:rsidR="002C44A5" w14:paraId="2940E114" w14:textId="77777777" w:rsidTr="00706EA6">
        <w:tc>
          <w:tcPr>
            <w:tcW w:w="1255" w:type="dxa"/>
          </w:tcPr>
          <w:p w14:paraId="699BC36B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7A4D30A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7F474CD8" w14:textId="6D5BF832" w:rsidR="00B127D4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Heading2"/>
      </w:pPr>
      <w:r>
        <w:t>3.2</w:t>
      </w:r>
      <w:r>
        <w:tab/>
        <w:t>Second Round of Email Discussion</w:t>
      </w:r>
    </w:p>
    <w:p w14:paraId="287A127F" w14:textId="51A8C326" w:rsidR="00942841" w:rsidRDefault="00B127D4">
      <w:pPr>
        <w:jc w:val="both"/>
        <w:rPr>
          <w:sz w:val="20"/>
          <w:szCs w:val="21"/>
        </w:rPr>
      </w:pPr>
      <w:r>
        <w:rPr>
          <w:sz w:val="20"/>
          <w:szCs w:val="21"/>
        </w:rPr>
        <w:t>From the first round of email discussion, here are companies’ preferences: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B127D4" w14:paraId="221D2345" w14:textId="77777777" w:rsidTr="004D5273">
        <w:tc>
          <w:tcPr>
            <w:tcW w:w="1278" w:type="dxa"/>
          </w:tcPr>
          <w:p w14:paraId="0AB66F55" w14:textId="77777777" w:rsidR="00B127D4" w:rsidRDefault="00B127D4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 1</w:t>
            </w:r>
          </w:p>
        </w:tc>
        <w:tc>
          <w:tcPr>
            <w:tcW w:w="8351" w:type="dxa"/>
          </w:tcPr>
          <w:p w14:paraId="13D9B5B9" w14:textId="77777777" w:rsidR="00B127D4" w:rsidRPr="00362DEA" w:rsidRDefault="00B127D4" w:rsidP="004D5273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>Nokia/NSB, Qualcomm</w:t>
            </w:r>
            <w:r w:rsidRPr="003749A1">
              <w:rPr>
                <w:rFonts w:hint="eastAsia"/>
                <w:sz w:val="20"/>
                <w:szCs w:val="21"/>
              </w:rPr>
              <w:t>,</w:t>
            </w:r>
            <w:r>
              <w:rPr>
                <w:sz w:val="20"/>
                <w:szCs w:val="21"/>
              </w:rPr>
              <w:t xml:space="preserve"> </w:t>
            </w:r>
            <w:r w:rsidRPr="003749A1">
              <w:rPr>
                <w:sz w:val="20"/>
                <w:szCs w:val="21"/>
              </w:rPr>
              <w:t>OPPO</w:t>
            </w:r>
            <w:r>
              <w:rPr>
                <w:sz w:val="20"/>
                <w:szCs w:val="21"/>
              </w:rPr>
              <w:t>,</w:t>
            </w:r>
            <w:r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vivo</w:t>
            </w:r>
            <w:r>
              <w:rPr>
                <w:rFonts w:eastAsiaTheme="minorEastAsia" w:hint="eastAsia"/>
                <w:sz w:val="20"/>
                <w:szCs w:val="21"/>
              </w:rPr>
              <w:t>, CATT</w:t>
            </w:r>
            <w:r>
              <w:rPr>
                <w:rFonts w:eastAsiaTheme="minorEastAsia"/>
                <w:sz w:val="20"/>
                <w:szCs w:val="21"/>
              </w:rPr>
              <w:t>, HW/HiSi (slight preference), DOCOMO</w:t>
            </w:r>
            <w:r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Sharp, Intel, ZTE</w:t>
            </w:r>
          </w:p>
        </w:tc>
      </w:tr>
      <w:tr w:rsidR="00B127D4" w14:paraId="5D3D4BD5" w14:textId="77777777" w:rsidTr="004D5273">
        <w:tc>
          <w:tcPr>
            <w:tcW w:w="1278" w:type="dxa"/>
          </w:tcPr>
          <w:p w14:paraId="52DED639" w14:textId="77777777" w:rsidR="00B127D4" w:rsidRDefault="00B127D4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 2</w:t>
            </w:r>
          </w:p>
        </w:tc>
        <w:tc>
          <w:tcPr>
            <w:tcW w:w="8351" w:type="dxa"/>
          </w:tcPr>
          <w:p w14:paraId="49CD1F79" w14:textId="77777777" w:rsidR="00B127D4" w:rsidRPr="00706EA6" w:rsidRDefault="00B127D4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accept), Apple, Ericsson, MTK</w:t>
            </w:r>
          </w:p>
        </w:tc>
      </w:tr>
    </w:tbl>
    <w:p w14:paraId="52536BDC" w14:textId="3FEF82A3" w:rsidR="00B127D4" w:rsidRDefault="00EC79EE">
      <w:pPr>
        <w:jc w:val="both"/>
        <w:rPr>
          <w:sz w:val="20"/>
          <w:szCs w:val="21"/>
        </w:rPr>
      </w:pPr>
      <w:r>
        <w:rPr>
          <w:sz w:val="20"/>
          <w:szCs w:val="21"/>
        </w:rPr>
        <w:t>Samsung prefers a unified solution between slot-based and sub-slot-based HARQ-ACK timing.</w:t>
      </w:r>
    </w:p>
    <w:p w14:paraId="6273712B" w14:textId="3B6C3D1F" w:rsidR="00EC79EE" w:rsidRDefault="00EC79EE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Given that </w:t>
      </w:r>
      <w:r w:rsidR="006D5F6C">
        <w:rPr>
          <w:sz w:val="20"/>
          <w:szCs w:val="21"/>
        </w:rPr>
        <w:t>majority companies prefer Option 1, here is the proposal for discussion:</w:t>
      </w:r>
    </w:p>
    <w:p w14:paraId="4271A661" w14:textId="5B9C8F68" w:rsidR="006D5F6C" w:rsidRDefault="006D5F6C" w:rsidP="000967B7">
      <w:pPr>
        <w:pStyle w:val="Heading3"/>
      </w:pPr>
      <w:r w:rsidRPr="000967B7">
        <w:rPr>
          <w:highlight w:val="yellow"/>
        </w:rPr>
        <w:t>Proposal 1:</w:t>
      </w:r>
    </w:p>
    <w:p w14:paraId="2C732F5D" w14:textId="1E632477" w:rsidR="006D5F6C" w:rsidRPr="000967B7" w:rsidRDefault="006D5F6C" w:rsidP="006D5F6C">
      <w:pPr>
        <w:jc w:val="both"/>
        <w:rPr>
          <w:b/>
          <w:bCs/>
          <w:sz w:val="20"/>
          <w:szCs w:val="20"/>
        </w:rPr>
      </w:pPr>
      <w:r w:rsidRPr="000967B7">
        <w:rPr>
          <w:b/>
          <w:bCs/>
          <w:sz w:val="20"/>
          <w:szCs w:val="20"/>
        </w:rPr>
        <w:t>For HARQ ACK timing in Rel-16 with sub-slot-based HARQ-ACK feedback, adopt Option 1</w:t>
      </w:r>
      <w:r w:rsidR="000967B7" w:rsidRPr="000967B7">
        <w:rPr>
          <w:b/>
          <w:bCs/>
          <w:sz w:val="20"/>
          <w:szCs w:val="20"/>
        </w:rPr>
        <w:t>.</w:t>
      </w:r>
    </w:p>
    <w:p w14:paraId="59ECC086" w14:textId="77777777" w:rsidR="006D5F6C" w:rsidRPr="000967B7" w:rsidRDefault="006D5F6C" w:rsidP="006D5F6C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0967B7">
        <w:rPr>
          <w:b/>
          <w:bCs/>
        </w:rPr>
        <w:t>Option 1: k = 0 corresponds to the last UL sub-slot that overlaps with the PDSCH.</w:t>
      </w:r>
    </w:p>
    <w:p w14:paraId="45EAD835" w14:textId="77777777" w:rsidR="00000D0C" w:rsidRDefault="00000D0C" w:rsidP="00000D0C">
      <w:pPr>
        <w:jc w:val="both"/>
        <w:rPr>
          <w:sz w:val="20"/>
          <w:szCs w:val="21"/>
        </w:rPr>
      </w:pPr>
    </w:p>
    <w:p w14:paraId="5D753082" w14:textId="527ECC91" w:rsidR="00000D0C" w:rsidRDefault="00000D0C" w:rsidP="00000D0C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comment </w:t>
      </w:r>
      <w:r w:rsidR="00EB46A1">
        <w:rPr>
          <w:b/>
          <w:bCs/>
          <w:sz w:val="20"/>
          <w:szCs w:val="21"/>
        </w:rPr>
        <w:t xml:space="preserve">with detailed reasons </w:t>
      </w:r>
      <w:r>
        <w:rPr>
          <w:b/>
          <w:bCs/>
          <w:sz w:val="20"/>
          <w:szCs w:val="21"/>
        </w:rPr>
        <w:t>if this proposal is not acceptable to you.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000D0C" w14:paraId="00BC98DD" w14:textId="77777777" w:rsidTr="004D5273">
        <w:trPr>
          <w:trHeight w:val="309"/>
        </w:trPr>
        <w:tc>
          <w:tcPr>
            <w:tcW w:w="1255" w:type="dxa"/>
          </w:tcPr>
          <w:p w14:paraId="73D2E176" w14:textId="77777777" w:rsidR="00000D0C" w:rsidRDefault="00000D0C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7C205DD4" w14:textId="77777777" w:rsidR="00000D0C" w:rsidRDefault="00000D0C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000D0C" w14:paraId="41384282" w14:textId="77777777" w:rsidTr="004D5273">
        <w:tc>
          <w:tcPr>
            <w:tcW w:w="1255" w:type="dxa"/>
          </w:tcPr>
          <w:p w14:paraId="5E40F9BA" w14:textId="7E6C3AE3" w:rsidR="00000D0C" w:rsidRDefault="00534D5A" w:rsidP="004D5273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Nokia/NSB</w:t>
            </w:r>
          </w:p>
        </w:tc>
        <w:tc>
          <w:tcPr>
            <w:tcW w:w="8374" w:type="dxa"/>
          </w:tcPr>
          <w:p w14:paraId="7B6733B9" w14:textId="5C755E1B" w:rsidR="00000D0C" w:rsidRDefault="00534D5A" w:rsidP="004D5273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Support</w:t>
            </w:r>
          </w:p>
        </w:tc>
      </w:tr>
      <w:tr w:rsidR="006F7776" w14:paraId="003E7729" w14:textId="77777777" w:rsidTr="004D5273">
        <w:tc>
          <w:tcPr>
            <w:tcW w:w="1255" w:type="dxa"/>
          </w:tcPr>
          <w:p w14:paraId="1DBDC4DE" w14:textId="2547351A" w:rsidR="006F7776" w:rsidRPr="006F7776" w:rsidRDefault="006F7776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14363FE9" w14:textId="6C24B3D1" w:rsidR="006F7776" w:rsidRPr="006F7776" w:rsidRDefault="006F7776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</w:t>
            </w:r>
            <w:r>
              <w:rPr>
                <w:rFonts w:eastAsiaTheme="minorEastAsia"/>
                <w:sz w:val="20"/>
                <w:szCs w:val="21"/>
              </w:rPr>
              <w:t>upport</w:t>
            </w:r>
          </w:p>
        </w:tc>
      </w:tr>
      <w:tr w:rsidR="009573A4" w14:paraId="4F9D0E4A" w14:textId="77777777" w:rsidTr="004D5273">
        <w:tc>
          <w:tcPr>
            <w:tcW w:w="1255" w:type="dxa"/>
          </w:tcPr>
          <w:p w14:paraId="234868D3" w14:textId="1166DEAD" w:rsidR="009573A4" w:rsidRDefault="009573A4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Z</w:t>
            </w:r>
            <w:r>
              <w:rPr>
                <w:rFonts w:eastAsiaTheme="minorEastAsia"/>
                <w:sz w:val="20"/>
                <w:szCs w:val="21"/>
              </w:rPr>
              <w:t>TE</w:t>
            </w:r>
          </w:p>
        </w:tc>
        <w:tc>
          <w:tcPr>
            <w:tcW w:w="8374" w:type="dxa"/>
          </w:tcPr>
          <w:p w14:paraId="2BEA1E67" w14:textId="1832A869" w:rsidR="009573A4" w:rsidRDefault="009573A4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</w:t>
            </w:r>
            <w:r>
              <w:rPr>
                <w:rFonts w:eastAsiaTheme="minorEastAsia"/>
                <w:sz w:val="20"/>
                <w:szCs w:val="21"/>
              </w:rPr>
              <w:t>upport</w:t>
            </w:r>
          </w:p>
        </w:tc>
      </w:tr>
      <w:tr w:rsidR="00285246" w14:paraId="06810866" w14:textId="77777777" w:rsidTr="004D5273">
        <w:tc>
          <w:tcPr>
            <w:tcW w:w="1255" w:type="dxa"/>
          </w:tcPr>
          <w:p w14:paraId="4FBB6CCE" w14:textId="2C3CA199" w:rsidR="00285246" w:rsidRDefault="00285246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Qualcomm</w:t>
            </w:r>
          </w:p>
        </w:tc>
        <w:tc>
          <w:tcPr>
            <w:tcW w:w="8374" w:type="dxa"/>
          </w:tcPr>
          <w:p w14:paraId="644A03CF" w14:textId="6AD1AEAE" w:rsidR="00285246" w:rsidRDefault="00285246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Support</w:t>
            </w:r>
          </w:p>
        </w:tc>
      </w:tr>
      <w:tr w:rsidR="00FA1E52" w14:paraId="16DD3CC4" w14:textId="77777777" w:rsidTr="004D5273">
        <w:tc>
          <w:tcPr>
            <w:tcW w:w="1255" w:type="dxa"/>
          </w:tcPr>
          <w:p w14:paraId="3FDB2A9B" w14:textId="48DE7F8F" w:rsidR="00FA1E52" w:rsidRDefault="00FA1E52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HW/HiSi</w:t>
            </w:r>
          </w:p>
        </w:tc>
        <w:tc>
          <w:tcPr>
            <w:tcW w:w="8374" w:type="dxa"/>
          </w:tcPr>
          <w:p w14:paraId="55FE4656" w14:textId="1AD06ADE" w:rsidR="00FA1E52" w:rsidRDefault="00FA1E52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Support</w:t>
            </w:r>
          </w:p>
        </w:tc>
      </w:tr>
    </w:tbl>
    <w:p w14:paraId="41C6A6E5" w14:textId="77777777" w:rsidR="00000D0C" w:rsidRPr="00000D0C" w:rsidRDefault="00000D0C">
      <w:pPr>
        <w:jc w:val="both"/>
        <w:rPr>
          <w:sz w:val="20"/>
          <w:szCs w:val="21"/>
        </w:rPr>
      </w:pPr>
      <w:bookmarkStart w:id="1" w:name="_GoBack"/>
      <w:bookmarkEnd w:id="1"/>
    </w:p>
    <w:p w14:paraId="0C577006" w14:textId="77777777" w:rsidR="00B127D4" w:rsidRDefault="00B127D4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Heading1"/>
        <w:rPr>
          <w:lang w:val="en-US"/>
        </w:rPr>
      </w:pPr>
      <w:bookmarkStart w:id="2" w:name="_Toc503902285"/>
      <w:bookmarkStart w:id="3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2"/>
    <w:bookmarkEnd w:id="3"/>
    <w:p w14:paraId="6A2EFD87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lastRenderedPageBreak/>
        <w:t>References</w:t>
      </w:r>
    </w:p>
    <w:p w14:paraId="4BF1AD78" w14:textId="77777777" w:rsidR="00A779F4" w:rsidRPr="00ED564D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C31DC" w14:textId="77777777" w:rsidR="006C0EF8" w:rsidRDefault="006C0EF8">
      <w:pPr>
        <w:spacing w:after="0" w:line="240" w:lineRule="auto"/>
      </w:pPr>
      <w:r>
        <w:separator/>
      </w:r>
    </w:p>
  </w:endnote>
  <w:endnote w:type="continuationSeparator" w:id="0">
    <w:p w14:paraId="596B8EAF" w14:textId="77777777" w:rsidR="006C0EF8" w:rsidRDefault="006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LineDraw">
    <w:charset w:val="02"/>
    <w:family w:val="modern"/>
    <w:pitch w:val="fixed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341477"/>
    </w:sdtPr>
    <w:sdtEndPr/>
    <w:sdtContent>
      <w:p w14:paraId="0DA33853" w14:textId="084B381E" w:rsidR="00221E7A" w:rsidRDefault="00E97A7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E52" w:rsidRPr="00FA1E52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9B48405" w14:textId="77777777" w:rsidR="00221E7A" w:rsidRDefault="00221E7A">
    <w:pPr>
      <w:pStyle w:val="Footer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CF2E6" w14:textId="77777777" w:rsidR="006C0EF8" w:rsidRDefault="006C0EF8">
      <w:pPr>
        <w:spacing w:after="0" w:line="240" w:lineRule="auto"/>
      </w:pPr>
      <w:r>
        <w:separator/>
      </w:r>
    </w:p>
  </w:footnote>
  <w:footnote w:type="continuationSeparator" w:id="0">
    <w:p w14:paraId="515435C9" w14:textId="77777777" w:rsidR="006C0EF8" w:rsidRDefault="006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E592" w14:textId="77777777" w:rsidR="00221E7A" w:rsidRDefault="00E97A77">
    <w:pPr>
      <w:pStyle w:val="Header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8B7E55A4"/>
    <w:rsid w:val="0000011C"/>
    <w:rsid w:val="000005A9"/>
    <w:rsid w:val="000005C0"/>
    <w:rsid w:val="00000D0C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4A4D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7B7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0B2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C81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013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582C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8B9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246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874CD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4A5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6B0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DEA"/>
    <w:rsid w:val="00362FF9"/>
    <w:rsid w:val="0036326F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834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0B06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3C8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2FFF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6F9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C0F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5E8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4D5A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3FC4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6F3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5753"/>
    <w:rsid w:val="006374E6"/>
    <w:rsid w:val="00640446"/>
    <w:rsid w:val="006409E6"/>
    <w:rsid w:val="00641245"/>
    <w:rsid w:val="00641944"/>
    <w:rsid w:val="00641A3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7E0"/>
    <w:rsid w:val="006719AC"/>
    <w:rsid w:val="00671F57"/>
    <w:rsid w:val="006720A4"/>
    <w:rsid w:val="0067297C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0EF8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215"/>
    <w:rsid w:val="006D5C13"/>
    <w:rsid w:val="006D5D23"/>
    <w:rsid w:val="006D5E08"/>
    <w:rsid w:val="006D5F6C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6F7776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9F3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33E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E7D1C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2E61"/>
    <w:rsid w:val="007F301B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331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073"/>
    <w:rsid w:val="00954874"/>
    <w:rsid w:val="00955913"/>
    <w:rsid w:val="0095596B"/>
    <w:rsid w:val="00955CEF"/>
    <w:rsid w:val="00956571"/>
    <w:rsid w:val="009573A4"/>
    <w:rsid w:val="009604F2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38A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169B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7D4"/>
    <w:rsid w:val="00B12B94"/>
    <w:rsid w:val="00B13095"/>
    <w:rsid w:val="00B1320C"/>
    <w:rsid w:val="00B136AB"/>
    <w:rsid w:val="00B13700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4DA2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1B24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1E8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53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4EA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8E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4DC"/>
    <w:rsid w:val="00DA35AD"/>
    <w:rsid w:val="00DA3BFD"/>
    <w:rsid w:val="00DA3F2A"/>
    <w:rsid w:val="00DA4182"/>
    <w:rsid w:val="00DA480D"/>
    <w:rsid w:val="00DA4BD5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239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2A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6A1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9EE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583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05B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874AE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1E52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422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3C2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CommentReference">
    <w:name w:val="annotation reference"/>
    <w:semiHidden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Normal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Normal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aptionChar">
    <w:name w:val="Caption Char"/>
    <w:link w:val="Caption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DefaultParagraphFont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BodyText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BodyText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">
    <w:name w:val="列出段落3"/>
    <w:basedOn w:val="Normal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">
    <w:name w:val="列出段落7"/>
    <w:basedOn w:val="Normal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Normal"/>
    <w:qFormat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TableNormal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9BA16B-39D7-47CF-8C8C-CB96AF62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Contribution</vt:lpstr>
      <vt:lpstr>3GPP Contribution</vt:lpstr>
      <vt:lpstr>3GPP Contribution</vt:lpstr>
    </vt:vector>
  </TitlesOfParts>
  <Company>Apple Inc.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Huawei</cp:lastModifiedBy>
  <cp:revision>2</cp:revision>
  <cp:lastPrinted>1900-12-31T16:00:00Z</cp:lastPrinted>
  <dcterms:created xsi:type="dcterms:W3CDTF">2021-08-19T20:23:00Z</dcterms:created>
  <dcterms:modified xsi:type="dcterms:W3CDTF">2021-08-19T20:23:00Z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