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proofErr w:type="gramStart"/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proofErr w:type="gramEnd"/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afb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</w:t>
      </w:r>
      <w:proofErr w:type="spellStart"/>
      <w:r w:rsidRPr="00C44628">
        <w:rPr>
          <w:highlight w:val="cyan"/>
        </w:rPr>
        <w:t>Sigen</w:t>
      </w:r>
      <w:proofErr w:type="spellEnd"/>
      <w:r w:rsidRPr="00C44628">
        <w:rPr>
          <w:highlight w:val="cyan"/>
        </w:rPr>
        <w:t xml:space="preserve">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afb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afb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SimSun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SimSun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</w:t>
      </w:r>
      <w:proofErr w:type="gramStart"/>
      <w:r>
        <w:rPr>
          <w:sz w:val="21"/>
          <w:szCs w:val="21"/>
          <w:lang w:val="en-GB"/>
        </w:rPr>
        <w:t>][</w:t>
      </w:r>
      <w:proofErr w:type="gramEnd"/>
      <w:r>
        <w:rPr>
          <w:sz w:val="21"/>
          <w:szCs w:val="21"/>
          <w:lang w:val="en-GB"/>
        </w:rPr>
        <w:t>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afb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afb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afb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afb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afb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afb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zh-TW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a6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afb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afb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1568FA2A" w14:textId="7727DFE4" w:rsidR="007169F3" w:rsidRDefault="007169F3" w:rsidP="007169F3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option </w:t>
      </w:r>
      <w:r w:rsidR="00DE5865" w:rsidRPr="00DE5865">
        <w:rPr>
          <w:sz w:val="20"/>
          <w:szCs w:val="20"/>
        </w:rPr>
        <w:t>-</w:t>
      </w:r>
    </w:p>
    <w:p w14:paraId="497B8009" w14:textId="5A6918AB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lastRenderedPageBreak/>
        <w:t xml:space="preserve"> </w:t>
      </w:r>
      <w:proofErr w:type="gramStart"/>
      <w:r>
        <w:rPr>
          <w:b/>
          <w:bCs/>
          <w:sz w:val="20"/>
          <w:szCs w:val="21"/>
        </w:rPr>
        <w:t>you</w:t>
      </w:r>
      <w:proofErr w:type="gramEnd"/>
      <w:r>
        <w:rPr>
          <w:b/>
          <w:bCs/>
          <w:sz w:val="20"/>
          <w:szCs w:val="21"/>
        </w:rPr>
        <w:t xml:space="preserve"> support.</w:t>
      </w:r>
    </w:p>
    <w:tbl>
      <w:tblPr>
        <w:tblStyle w:val="af9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382F862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 w:rsidR="003B3C70"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 w:rsidR="003B3C70">
              <w:rPr>
                <w:rFonts w:eastAsiaTheme="minorEastAsia"/>
                <w:sz w:val="20"/>
                <w:szCs w:val="21"/>
              </w:rPr>
              <w:t xml:space="preserve">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  <w:r w:rsidR="00FE63C2">
              <w:rPr>
                <w:rFonts w:eastAsia="MS Mincho"/>
                <w:sz w:val="20"/>
                <w:szCs w:val="21"/>
                <w:lang w:eastAsia="ja-JP"/>
              </w:rPr>
              <w:t>, ZTE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5EA53E2C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  <w:r w:rsidR="00F4105B">
              <w:rPr>
                <w:rFonts w:eastAsiaTheme="minorEastAsia"/>
                <w:sz w:val="20"/>
                <w:szCs w:val="21"/>
                <w:lang w:val="en"/>
              </w:rPr>
              <w:t>, Ericsson</w:t>
            </w:r>
            <w:r w:rsidR="002C44A5">
              <w:rPr>
                <w:rFonts w:eastAsiaTheme="minorEastAsia"/>
                <w:sz w:val="20"/>
                <w:szCs w:val="21"/>
                <w:lang w:val="en"/>
              </w:rPr>
              <w:t>, MTK</w:t>
            </w:r>
            <w:bookmarkStart w:id="1" w:name="_GoBack"/>
            <w:bookmarkEnd w:id="1"/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af9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385C449F" w:rsidR="00FE3727" w:rsidRDefault="00DA4BD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Ericsson</w:t>
            </w:r>
          </w:p>
        </w:tc>
        <w:tc>
          <w:tcPr>
            <w:tcW w:w="8374" w:type="dxa"/>
          </w:tcPr>
          <w:p w14:paraId="54A1A2AA" w14:textId="77777777" w:rsidR="00FE3727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Option 2. </w:t>
            </w:r>
          </w:p>
          <w:p w14:paraId="424251F2" w14:textId="3445B04E" w:rsidR="0036326F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The reason for the CR is not only for Type-1 HAR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-ACK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 xml:space="preserve"> CB. It is also needed for Type-2 CB in order to 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have a proper timing for CB construction. Hence, the arguments related to Type-1 HAR</w:t>
            </w:r>
            <w:r w:rsidR="005A56F3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-ACK CB for Rel-16 are not justified</w:t>
            </w:r>
            <w:r w:rsidR="004453C8">
              <w:rPr>
                <w:rFonts w:eastAsia="Malgun Gothic"/>
                <w:sz w:val="20"/>
                <w:szCs w:val="21"/>
                <w:lang w:eastAsia="ko-KR"/>
              </w:rPr>
              <w:t xml:space="preserve"> since Rel-16 does not support Type-1 CB for sub-slot.</w:t>
            </w:r>
          </w:p>
          <w:p w14:paraId="0BA40090" w14:textId="77777777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5BA5361B" w14:textId="77777777" w:rsidR="006717E0" w:rsidRDefault="004453C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lastRenderedPageBreak/>
              <w:t xml:space="preserve">The argument from latency is not clear to us. Why 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should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Option 2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 results in higher latency than Option 1?</w:t>
            </w:r>
          </w:p>
          <w:p w14:paraId="2AAB3FAB" w14:textId="77777777" w:rsidR="006717E0" w:rsidRDefault="006717E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9C9E739" w14:textId="6C19890A" w:rsidR="002874CD" w:rsidRDefault="00D958E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>If D</w:t>
            </w:r>
            <w:r w:rsidR="0074733E">
              <w:rPr>
                <w:rFonts w:eastAsia="Malgun Gothic"/>
                <w:sz w:val="20"/>
                <w:szCs w:val="21"/>
                <w:lang w:eastAsia="ko-KR"/>
              </w:rPr>
              <w:t>L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is on 15 kHz, and UL on </w:t>
            </w:r>
            <w:r w:rsidR="003B0B06">
              <w:rPr>
                <w:rFonts w:eastAsia="Malgun Gothic"/>
                <w:sz w:val="20"/>
                <w:szCs w:val="21"/>
                <w:lang w:eastAsia="ko-KR"/>
              </w:rPr>
              <w:t>15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kHz configured with sub-slot of 7 symbols, we run in the same issue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. </w:t>
            </w:r>
            <w:r w:rsidR="00954073">
              <w:rPr>
                <w:rFonts w:eastAsia="Malgun Gothic"/>
                <w:sz w:val="20"/>
                <w:szCs w:val="21"/>
                <w:lang w:eastAsia="ko-KR"/>
              </w:rPr>
              <w:t xml:space="preserve">The codebook construction would be 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>rely on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 the duration and position of any scheduled PDSCH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 xml:space="preserve"> in a slot.</w:t>
            </w:r>
          </w:p>
          <w:p w14:paraId="21A49E74" w14:textId="4D8FF33D" w:rsidR="002874CD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Hopefully the NW vendors consider this complexity.</w:t>
            </w:r>
          </w:p>
          <w:p w14:paraId="2673581C" w14:textId="26EAE73E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A764DFA" w14:textId="15DFD5D8" w:rsidR="003A0834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Lastly, it is not preferred to have different </w:t>
            </w:r>
            <w:r w:rsidR="006717E0">
              <w:rPr>
                <w:rFonts w:eastAsia="Malgun Gothic"/>
                <w:sz w:val="20"/>
                <w:szCs w:val="21"/>
                <w:lang w:eastAsia="ko-KR"/>
              </w:rPr>
              <w:t>approaches. Unified solution</w:t>
            </w:r>
            <w:r w:rsidR="0067297C">
              <w:rPr>
                <w:rFonts w:eastAsia="Malgun Gothic"/>
                <w:sz w:val="20"/>
                <w:szCs w:val="21"/>
                <w:lang w:eastAsia="ko-KR"/>
              </w:rPr>
              <w:t xml:space="preserve"> is always preferred.</w:t>
            </w:r>
          </w:p>
        </w:tc>
      </w:tr>
      <w:tr w:rsidR="00FE63C2" w14:paraId="68656991" w14:textId="77777777" w:rsidTr="00706EA6">
        <w:tc>
          <w:tcPr>
            <w:tcW w:w="1255" w:type="dxa"/>
          </w:tcPr>
          <w:p w14:paraId="3CD663FC" w14:textId="556D58A0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lastRenderedPageBreak/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07C69597" w14:textId="19A9A10E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Slightly prefer </w:t>
            </w: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 xml:space="preserve">ption 1. </w:t>
            </w: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06D7578C" w:rsidR="00DE3307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MTK</w:t>
            </w:r>
          </w:p>
        </w:tc>
        <w:tc>
          <w:tcPr>
            <w:tcW w:w="8374" w:type="dxa"/>
          </w:tcPr>
          <w:p w14:paraId="64E3F8B6" w14:textId="4E564516" w:rsidR="00DE3307" w:rsidRDefault="002C44A5" w:rsidP="002C44A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tend to agree with Ericsson and prefer Option 2. To us, it is better to apply a unified solution and pursue l</w:t>
            </w:r>
            <w:r w:rsidRPr="002C44A5">
              <w:rPr>
                <w:rFonts w:eastAsia="Malgun Gothic"/>
                <w:sz w:val="20"/>
                <w:szCs w:val="21"/>
                <w:lang w:eastAsia="ko-KR"/>
              </w:rPr>
              <w:t xml:space="preserve">ess </w:t>
            </w:r>
            <w:proofErr w:type="spellStart"/>
            <w:r w:rsidRPr="002C44A5">
              <w:rPr>
                <w:rFonts w:eastAsia="Malgun Gothic"/>
                <w:sz w:val="20"/>
                <w:szCs w:val="21"/>
                <w:lang w:eastAsia="ko-KR"/>
              </w:rPr>
              <w:t>gNB</w:t>
            </w:r>
            <w:proofErr w:type="spellEnd"/>
            <w:r w:rsidRPr="002C44A5">
              <w:rPr>
                <w:rFonts w:eastAsia="Malgun Gothic"/>
                <w:sz w:val="20"/>
                <w:szCs w:val="21"/>
                <w:lang w:eastAsia="ko-KR"/>
              </w:rPr>
              <w:t>/UE complexity and less specification impact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, although we understand Option 1 fits better with previous RAN1 agreement in RAN1 #97.</w:t>
            </w:r>
          </w:p>
        </w:tc>
      </w:tr>
      <w:tr w:rsidR="002C44A5" w14:paraId="2940E114" w14:textId="77777777" w:rsidTr="00706EA6">
        <w:tc>
          <w:tcPr>
            <w:tcW w:w="1255" w:type="dxa"/>
          </w:tcPr>
          <w:p w14:paraId="699BC36B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7A4D30A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1"/>
        <w:rPr>
          <w:lang w:val="en-US"/>
        </w:rPr>
      </w:pPr>
      <w:bookmarkStart w:id="2" w:name="_Toc503902285"/>
      <w:bookmarkStart w:id="3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2"/>
    <w:bookmarkEnd w:id="3"/>
    <w:p w14:paraId="6A2EFD87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 xml:space="preserve">Huawei, </w:t>
      </w:r>
      <w:proofErr w:type="spellStart"/>
      <w:r w:rsidRPr="00BB48EF">
        <w:rPr>
          <w:sz w:val="22"/>
          <w:szCs w:val="22"/>
        </w:rPr>
        <w:t>HiSilicon</w:t>
      </w:r>
      <w:proofErr w:type="spellEnd"/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480A3" w14:textId="77777777" w:rsidR="007E7D1C" w:rsidRDefault="007E7D1C">
      <w:pPr>
        <w:spacing w:after="0" w:line="240" w:lineRule="auto"/>
      </w:pPr>
      <w:r>
        <w:separator/>
      </w:r>
    </w:p>
  </w:endnote>
  <w:endnote w:type="continuationSeparator" w:id="0">
    <w:p w14:paraId="542E697D" w14:textId="77777777" w:rsidR="007E7D1C" w:rsidRDefault="007E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LineDraw">
    <w:charset w:val="02"/>
    <w:family w:val="moder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341477"/>
    </w:sdtPr>
    <w:sdtEndPr/>
    <w:sdtContent>
      <w:p w14:paraId="0DA33853" w14:textId="084B381E" w:rsidR="00221E7A" w:rsidRDefault="00E97A77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A5" w:rsidRPr="002C44A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af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99A57" w14:textId="77777777" w:rsidR="007E7D1C" w:rsidRDefault="007E7D1C">
      <w:pPr>
        <w:spacing w:after="0" w:line="240" w:lineRule="auto"/>
      </w:pPr>
      <w:r>
        <w:separator/>
      </w:r>
    </w:p>
  </w:footnote>
  <w:footnote w:type="continuationSeparator" w:id="0">
    <w:p w14:paraId="1F699903" w14:textId="77777777" w:rsidR="007E7D1C" w:rsidRDefault="007E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E592" w14:textId="77777777" w:rsidR="00221E7A" w:rsidRDefault="00E97A77">
    <w:pPr>
      <w:pStyle w:val="af0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013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874CD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4A5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26F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834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0B06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3C8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5E8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6F3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5753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7E0"/>
    <w:rsid w:val="006719AC"/>
    <w:rsid w:val="00671F57"/>
    <w:rsid w:val="006720A4"/>
    <w:rsid w:val="0067297C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215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33E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E7D1C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073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169B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1B24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53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8E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BD5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05B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3C2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a3">
    <w:name w:val="Balloon Text"/>
    <w:basedOn w:val="a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a4">
    <w:name w:val="Body Text"/>
    <w:basedOn w:val="a"/>
    <w:link w:val="a5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a6">
    <w:name w:val="caption"/>
    <w:basedOn w:val="a"/>
    <w:next w:val="a"/>
    <w:link w:val="a7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a8">
    <w:name w:val="annotation reference"/>
    <w:semiHidden/>
    <w:qFormat/>
    <w:rPr>
      <w:sz w:val="16"/>
    </w:rPr>
  </w:style>
  <w:style w:type="paragraph" w:styleId="a9">
    <w:name w:val="annotation text"/>
    <w:basedOn w:val="a"/>
    <w:link w:val="aa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ab">
    <w:name w:val="annotation subject"/>
    <w:basedOn w:val="a9"/>
    <w:next w:val="a9"/>
    <w:semiHidden/>
    <w:qFormat/>
    <w:rPr>
      <w:b/>
      <w:bCs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FollowedHyperlink"/>
    <w:qFormat/>
    <w:rPr>
      <w:color w:val="800080"/>
      <w:u w:val="single"/>
    </w:rPr>
  </w:style>
  <w:style w:type="paragraph" w:styleId="af">
    <w:name w:val="footer"/>
    <w:basedOn w:val="af0"/>
    <w:link w:val="af1"/>
    <w:uiPriority w:val="99"/>
    <w:qFormat/>
    <w:pPr>
      <w:jc w:val="center"/>
    </w:pPr>
    <w:rPr>
      <w:i/>
    </w:rPr>
  </w:style>
  <w:style w:type="paragraph" w:styleId="af0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styleId="af3">
    <w:name w:val="footnote text"/>
    <w:basedOn w:val="a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styleId="10">
    <w:name w:val="index 1"/>
    <w:basedOn w:val="a"/>
    <w:next w:val="a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20">
    <w:name w:val="index 2"/>
    <w:basedOn w:val="10"/>
    <w:next w:val="a"/>
    <w:semiHidden/>
    <w:qFormat/>
    <w:pPr>
      <w:ind w:left="284"/>
    </w:pPr>
  </w:style>
  <w:style w:type="paragraph" w:styleId="af5">
    <w:name w:val="List"/>
    <w:basedOn w:val="a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21">
    <w:name w:val="List 2"/>
    <w:basedOn w:val="af5"/>
    <w:qFormat/>
    <w:pPr>
      <w:ind w:left="851"/>
    </w:pPr>
  </w:style>
  <w:style w:type="paragraph" w:styleId="30">
    <w:name w:val="List 3"/>
    <w:basedOn w:val="21"/>
    <w:qFormat/>
    <w:pPr>
      <w:ind w:left="1135"/>
    </w:pPr>
  </w:style>
  <w:style w:type="paragraph" w:styleId="41">
    <w:name w:val="List 4"/>
    <w:basedOn w:val="30"/>
    <w:qFormat/>
    <w:pPr>
      <w:ind w:left="1418"/>
    </w:pPr>
  </w:style>
  <w:style w:type="paragraph" w:styleId="50">
    <w:name w:val="List 5"/>
    <w:basedOn w:val="41"/>
    <w:qFormat/>
    <w:pPr>
      <w:ind w:left="1702"/>
    </w:pPr>
  </w:style>
  <w:style w:type="paragraph" w:styleId="af6">
    <w:name w:val="List Bullet"/>
    <w:basedOn w:val="af5"/>
    <w:qFormat/>
  </w:style>
  <w:style w:type="paragraph" w:styleId="22">
    <w:name w:val="List Bullet 2"/>
    <w:basedOn w:val="af6"/>
    <w:qFormat/>
    <w:pPr>
      <w:ind w:left="851"/>
    </w:pPr>
  </w:style>
  <w:style w:type="paragraph" w:styleId="31">
    <w:name w:val="List Bullet 3"/>
    <w:basedOn w:val="22"/>
    <w:qFormat/>
    <w:pPr>
      <w:ind w:left="1135"/>
    </w:pPr>
  </w:style>
  <w:style w:type="paragraph" w:styleId="42">
    <w:name w:val="List Bullet 4"/>
    <w:basedOn w:val="31"/>
    <w:qFormat/>
    <w:pPr>
      <w:ind w:left="1418"/>
    </w:pPr>
  </w:style>
  <w:style w:type="paragraph" w:styleId="51">
    <w:name w:val="List Bullet 5"/>
    <w:basedOn w:val="42"/>
    <w:qFormat/>
    <w:pPr>
      <w:ind w:left="1702"/>
    </w:pPr>
  </w:style>
  <w:style w:type="paragraph" w:styleId="af7">
    <w:name w:val="List Number"/>
    <w:basedOn w:val="af5"/>
    <w:qFormat/>
  </w:style>
  <w:style w:type="paragraph" w:styleId="23">
    <w:name w:val="List Number 2"/>
    <w:basedOn w:val="af7"/>
    <w:qFormat/>
    <w:pPr>
      <w:ind w:left="851"/>
    </w:p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af8">
    <w:name w:val="Strong"/>
    <w:basedOn w:val="a0"/>
    <w:uiPriority w:val="22"/>
    <w:qFormat/>
    <w:rPr>
      <w:b/>
      <w:bCs/>
    </w:rPr>
  </w:style>
  <w:style w:type="table" w:styleId="af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able of figures"/>
    <w:basedOn w:val="a4"/>
    <w:next w:val="a"/>
    <w:uiPriority w:val="99"/>
    <w:unhideWhenUsed/>
    <w:qFormat/>
    <w:pPr>
      <w:ind w:left="1701" w:hanging="1701"/>
      <w:jc w:val="left"/>
    </w:pPr>
    <w:rPr>
      <w:b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24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32">
    <w:name w:val="toc 3"/>
    <w:basedOn w:val="24"/>
    <w:next w:val="a"/>
    <w:semiHidden/>
    <w:qFormat/>
    <w:pPr>
      <w:ind w:left="1134" w:hanging="1134"/>
    </w:pPr>
  </w:style>
  <w:style w:type="paragraph" w:styleId="43">
    <w:name w:val="toc 4"/>
    <w:basedOn w:val="32"/>
    <w:next w:val="a"/>
    <w:semiHidden/>
    <w:qFormat/>
    <w:pPr>
      <w:ind w:left="1418" w:hanging="1418"/>
    </w:pPr>
  </w:style>
  <w:style w:type="paragraph" w:styleId="52">
    <w:name w:val="toc 5"/>
    <w:basedOn w:val="43"/>
    <w:next w:val="a"/>
    <w:semiHidden/>
    <w:qFormat/>
    <w:pPr>
      <w:ind w:left="1701" w:hanging="1701"/>
    </w:pPr>
  </w:style>
  <w:style w:type="paragraph" w:styleId="60">
    <w:name w:val="toc 6"/>
    <w:basedOn w:val="52"/>
    <w:next w:val="a"/>
    <w:semiHidden/>
    <w:qFormat/>
    <w:pPr>
      <w:ind w:left="1985" w:hanging="1985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80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a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a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a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5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40">
    <w:name w:val="標題 4 字元"/>
    <w:link w:val="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afb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c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aa">
    <w:name w:val="註解文字 字元"/>
    <w:link w:val="a9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7">
    <w:name w:val="標號 字元"/>
    <w:link w:val="a6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a5">
    <w:name w:val="本文 字元"/>
    <w:basedOn w:val="a0"/>
    <w:link w:val="a4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a0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a4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afc">
    <w:name w:val="清單段落 字元"/>
    <w:aliases w:val="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,Normal bullet 2 字元"/>
    <w:link w:val="afb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a4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3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3">
    <w:name w:val="列出段落3"/>
    <w:basedOn w:val="a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1">
    <w:name w:val="列出段落7"/>
    <w:basedOn w:val="a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af1">
    <w:name w:val="頁尾 字元"/>
    <w:basedOn w:val="a0"/>
    <w:link w:val="af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a"/>
    <w:qFormat/>
    <w:pPr>
      <w:spacing w:before="100" w:beforeAutospacing="1" w:after="100" w:afterAutospacing="1"/>
    </w:pPr>
  </w:style>
  <w:style w:type="table" w:customStyle="1" w:styleId="TableGrid1">
    <w:name w:val="Table Grid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a1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D27B9-B11A-4DC1-8836-D44F0999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CH Hsieh (謝其軒)</cp:lastModifiedBy>
  <cp:revision>3</cp:revision>
  <cp:lastPrinted>1900-12-31T16:00:00Z</cp:lastPrinted>
  <dcterms:created xsi:type="dcterms:W3CDTF">2021-08-18T08:07:00Z</dcterms:created>
  <dcterms:modified xsi:type="dcterms:W3CDTF">2021-08-18T08:14:00Z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