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afc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Sigen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proofErr w:type="spellStart"/>
      <w:r>
        <w:rPr>
          <w:i/>
          <w:iCs/>
          <w:sz w:val="20"/>
          <w:szCs w:val="20"/>
        </w:rPr>
        <w:t>n+k</w:t>
      </w:r>
      <w:proofErr w:type="spellEnd"/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>The main reasons for adopting interpretation 2 are that it is aligned with earlier RAN1 agreement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宋体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宋体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宋体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>[2], similar to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afc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afc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宋体"/>
          <w:i/>
          <w:iCs/>
          <w:sz w:val="20"/>
          <w:szCs w:val="20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宋体"/>
          <w:i/>
          <w:iCs/>
          <w:sz w:val="20"/>
          <w:szCs w:val="20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宋体"/>
          <w:i/>
          <w:iCs/>
          <w:sz w:val="20"/>
          <w:szCs w:val="20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 xml:space="preserve">FFS: The configurable value range of K1 needs to be extended, and impact to related DCI field </w:t>
      </w:r>
      <w:proofErr w:type="spellStart"/>
      <w:r w:rsidRPr="003709B4">
        <w:rPr>
          <w:rFonts w:eastAsia="宋体"/>
          <w:i/>
          <w:iCs/>
          <w:sz w:val="20"/>
          <w:szCs w:val="20"/>
          <w:lang w:val="en-GB"/>
        </w:rPr>
        <w:t>bitwidth</w:t>
      </w:r>
      <w:proofErr w:type="spellEnd"/>
      <w:r w:rsidRPr="003709B4">
        <w:rPr>
          <w:rFonts w:eastAsia="宋体"/>
          <w:i/>
          <w:iCs/>
          <w:sz w:val="20"/>
          <w:szCs w:val="20"/>
          <w:lang w:val="en-GB"/>
        </w:rPr>
        <w:t>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宋体"/>
          <w:sz w:val="21"/>
          <w:szCs w:val="21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[3][6],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afc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afc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(e.g.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afc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afc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Consistent </w:t>
      </w:r>
      <w:proofErr w:type="spellStart"/>
      <w:r>
        <w:rPr>
          <w:sz w:val="21"/>
          <w:szCs w:val="21"/>
        </w:rPr>
        <w:t>behavior</w:t>
      </w:r>
      <w:proofErr w:type="spellEnd"/>
      <w:r>
        <w:rPr>
          <w:sz w:val="21"/>
          <w:szCs w:val="21"/>
        </w:rPr>
        <w:t xml:space="preserve"> between slot-based and sub-slot-based HARQ-ACK feedback timing</w:t>
      </w:r>
    </w:p>
    <w:p w14:paraId="6B386069" w14:textId="2319EBCF" w:rsidR="007C1C89" w:rsidRDefault="00E518C8" w:rsidP="007C1C89">
      <w:pPr>
        <w:pStyle w:val="afc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afc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Less gNB/UE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a6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2"/>
      </w:pPr>
      <w:r>
        <w:t>3.1</w:t>
      </w:r>
      <w:r>
        <w:tab/>
        <w:t>First Round of Email Discussion</w:t>
      </w:r>
    </w:p>
    <w:p w14:paraId="1568FA2A" w14:textId="77777777" w:rsidR="00DE5865" w:rsidRPr="00DE5865" w:rsidRDefault="00DE5865" w:rsidP="00DE5865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HARQ-ACK timing in Rel-16 with sub-slot-based HARQ-ACK feedback,</w:t>
      </w:r>
    </w:p>
    <w:p w14:paraId="7751D2E7" w14:textId="3C0E278B" w:rsidR="00DE5865" w:rsidRPr="00DE5865" w:rsidRDefault="00DE5865" w:rsidP="00DE5865">
      <w:pPr>
        <w:pStyle w:val="afc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50752506" w14:textId="263D2A82" w:rsidR="00DE5865" w:rsidRPr="00DE5865" w:rsidRDefault="00DE5865" w:rsidP="00DE5865">
      <w:pPr>
        <w:pStyle w:val="afc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497B8009" w14:textId="27474EBE" w:rsidR="00221E7A" w:rsidRDefault="00E97A77" w:rsidP="00DE5865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indicate which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you support.</w:t>
      </w:r>
    </w:p>
    <w:tbl>
      <w:tblPr>
        <w:tblStyle w:val="afa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lastRenderedPageBreak/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34E24109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Nokia/NSB, </w:t>
            </w:r>
            <w:r w:rsidR="000C12E1">
              <w:rPr>
                <w:sz w:val="20"/>
                <w:szCs w:val="21"/>
              </w:rPr>
              <w:t>Qualcomm</w:t>
            </w:r>
            <w:r w:rsidR="003749A1" w:rsidRPr="003749A1">
              <w:rPr>
                <w:rFonts w:hint="eastAsia"/>
                <w:sz w:val="20"/>
                <w:szCs w:val="21"/>
              </w:rPr>
              <w:t>,</w:t>
            </w:r>
            <w:r w:rsidR="003749A1">
              <w:rPr>
                <w:sz w:val="20"/>
                <w:szCs w:val="21"/>
              </w:rPr>
              <w:t xml:space="preserve"> </w:t>
            </w:r>
            <w:proofErr w:type="spellStart"/>
            <w:proofErr w:type="gramStart"/>
            <w:r w:rsidR="003749A1" w:rsidRPr="003749A1">
              <w:rPr>
                <w:sz w:val="20"/>
                <w:szCs w:val="21"/>
              </w:rPr>
              <w:t>OPPO</w:t>
            </w:r>
            <w:r w:rsidR="003E18F0">
              <w:rPr>
                <w:sz w:val="20"/>
                <w:szCs w:val="21"/>
              </w:rPr>
              <w:t>,vivo</w:t>
            </w:r>
            <w:proofErr w:type="spellEnd"/>
            <w:proofErr w:type="gramEnd"/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3982563B" w:rsidR="00221E7A" w:rsidRPr="00706EA6" w:rsidRDefault="00221E7A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afa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actually was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Actually, we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1611BD38" w:rsidR="00221E7A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Qualcomm</w:t>
            </w:r>
          </w:p>
        </w:tc>
        <w:tc>
          <w:tcPr>
            <w:tcW w:w="8374" w:type="dxa"/>
          </w:tcPr>
          <w:p w14:paraId="35FBED54" w14:textId="77777777" w:rsidR="007E0257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We support Option 1. As pointed out by Nokia, Option 1 is what we agreed in RAN1 Rel-16 URLLC, and is what’s been implemented in the spec (TS 38.213, v16.6.0). </w:t>
            </w:r>
          </w:p>
          <w:p w14:paraId="6AAD7D09" w14:textId="77777777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  <w:p w14:paraId="36160EDB" w14:textId="374238DA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On the type-1 CB, Rel-16 doesn’t support sub-</w:t>
            </w:r>
            <w:proofErr w:type="gramStart"/>
            <w:r>
              <w:rPr>
                <w:sz w:val="20"/>
                <w:szCs w:val="21"/>
                <w:lang w:val="en"/>
              </w:rPr>
              <w:t>slot based</w:t>
            </w:r>
            <w:proofErr w:type="gramEnd"/>
            <w:r>
              <w:rPr>
                <w:sz w:val="20"/>
                <w:szCs w:val="21"/>
                <w:lang w:val="en"/>
              </w:rPr>
              <w:t xml:space="preserve"> Type-1 HARQ-ACK CB. So we are not sure why this should be taken into account for a Rel-16 CR discussion (at this late stage).  </w:t>
            </w:r>
          </w:p>
        </w:tc>
      </w:tr>
      <w:tr w:rsidR="00221E7A" w14:paraId="4194384A" w14:textId="77777777">
        <w:tc>
          <w:tcPr>
            <w:tcW w:w="1255" w:type="dxa"/>
          </w:tcPr>
          <w:p w14:paraId="74EFC9E3" w14:textId="7CADB824" w:rsidR="00221E7A" w:rsidRPr="00BC7B5F" w:rsidRDefault="00BC7B5F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>PPO</w:t>
            </w:r>
          </w:p>
        </w:tc>
        <w:tc>
          <w:tcPr>
            <w:tcW w:w="8374" w:type="dxa"/>
          </w:tcPr>
          <w:p w14:paraId="2E20F643" w14:textId="1C32D775" w:rsidR="000C1B7C" w:rsidRPr="000C1B7C" w:rsidRDefault="000C1B7C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We</w:t>
            </w:r>
            <w:r>
              <w:rPr>
                <w:rFonts w:eastAsiaTheme="minorEastAsia"/>
                <w:sz w:val="20"/>
                <w:szCs w:val="21"/>
              </w:rPr>
              <w:t xml:space="preserve"> support option 1. As commented by Nokia and QC, option 1 can reduce the HARQ feedback latency, which is </w:t>
            </w:r>
            <w:r w:rsidRPr="000C1B7C">
              <w:rPr>
                <w:rFonts w:eastAsiaTheme="minorEastAsia"/>
                <w:sz w:val="20"/>
                <w:szCs w:val="21"/>
              </w:rPr>
              <w:t>the intention to introduce sub-slot based HARQ-ACK feedback in Rel-16.</w:t>
            </w:r>
            <w:r>
              <w:rPr>
                <w:rFonts w:eastAsiaTheme="minorEastAsia"/>
                <w:sz w:val="20"/>
                <w:szCs w:val="21"/>
              </w:rPr>
              <w:t xml:space="preserve"> </w:t>
            </w:r>
            <w:r w:rsidR="00283833">
              <w:rPr>
                <w:rFonts w:eastAsiaTheme="minorEastAsia"/>
                <w:sz w:val="20"/>
                <w:szCs w:val="21"/>
              </w:rPr>
              <w:t>And we share similar view with QC that Rel-16 does not support sub-slot based Type-1 HARQ-ACK CB so some changes (if needed) can leave to Rel-17 HARQ-ACK AI.</w:t>
            </w:r>
          </w:p>
        </w:tc>
      </w:tr>
      <w:tr w:rsidR="00221E7A" w14:paraId="72571BCE" w14:textId="77777777">
        <w:tc>
          <w:tcPr>
            <w:tcW w:w="1255" w:type="dxa"/>
          </w:tcPr>
          <w:p w14:paraId="6E404174" w14:textId="1CA55A53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321BDF6D" w14:textId="3A5D740D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Agree with Nokia, Qualcomm and OPPO. </w:t>
            </w:r>
            <w:r w:rsidR="00216127">
              <w:rPr>
                <w:rFonts w:eastAsiaTheme="minorEastAsia"/>
                <w:sz w:val="20"/>
                <w:szCs w:val="21"/>
              </w:rPr>
              <w:t>Option 2 is against t</w:t>
            </w:r>
            <w:r>
              <w:rPr>
                <w:rFonts w:eastAsiaTheme="minorEastAsia"/>
                <w:sz w:val="20"/>
                <w:szCs w:val="21"/>
              </w:rPr>
              <w:t>he intention of sub-slot</w:t>
            </w:r>
            <w:r w:rsidR="00216127">
              <w:rPr>
                <w:rFonts w:eastAsiaTheme="minorEastAsia"/>
                <w:sz w:val="20"/>
                <w:szCs w:val="21"/>
              </w:rPr>
              <w:t xml:space="preserve"> to reduce the</w:t>
            </w:r>
            <w:r>
              <w:rPr>
                <w:rFonts w:eastAsiaTheme="minorEastAsia"/>
                <w:sz w:val="20"/>
                <w:szCs w:val="21"/>
              </w:rPr>
              <w:t xml:space="preserve"> HAQ-ACK feedback latency. </w:t>
            </w:r>
            <w:r w:rsidR="00216127">
              <w:rPr>
                <w:rFonts w:eastAsiaTheme="minorEastAsia"/>
                <w:sz w:val="20"/>
                <w:szCs w:val="21"/>
              </w:rPr>
              <w:t>Sub-slot based type-1 CB is not supported in Rel-16.</w:t>
            </w:r>
            <w:bookmarkStart w:id="1" w:name="_GoBack"/>
            <w:bookmarkEnd w:id="1"/>
          </w:p>
        </w:tc>
      </w:tr>
      <w:tr w:rsidR="00F477F4" w14:paraId="5E23200B" w14:textId="77777777">
        <w:tc>
          <w:tcPr>
            <w:tcW w:w="1255" w:type="dxa"/>
          </w:tcPr>
          <w:p w14:paraId="5300D4F8" w14:textId="44FB0467" w:rsidR="00F477F4" w:rsidRDefault="00F477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61F70FB9" w14:textId="477DED07" w:rsidR="00F477F4" w:rsidRDefault="00F477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5610F4" w14:paraId="3C48C8EA" w14:textId="77777777">
        <w:tc>
          <w:tcPr>
            <w:tcW w:w="1255" w:type="dxa"/>
          </w:tcPr>
          <w:p w14:paraId="13143879" w14:textId="1DFE217F" w:rsidR="005610F4" w:rsidRDefault="005610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09C74257" w14:textId="6CE4BB9B" w:rsidR="005610F4" w:rsidRDefault="005610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5703B7" w14:paraId="1BF2A30D" w14:textId="77777777">
        <w:tc>
          <w:tcPr>
            <w:tcW w:w="1255" w:type="dxa"/>
          </w:tcPr>
          <w:p w14:paraId="3883E656" w14:textId="7757996D" w:rsidR="005703B7" w:rsidRDefault="005703B7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37283128" w14:textId="3957C61A" w:rsidR="005703B7" w:rsidRDefault="005703B7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705A00" w14:paraId="44282B00" w14:textId="77777777">
        <w:tc>
          <w:tcPr>
            <w:tcW w:w="1255" w:type="dxa"/>
          </w:tcPr>
          <w:p w14:paraId="67996C20" w14:textId="542DE33D" w:rsidR="00705A00" w:rsidRPr="00705A00" w:rsidRDefault="00705A00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03D60270" w14:textId="76A5DD76" w:rsidR="0089677E" w:rsidRPr="0089677E" w:rsidRDefault="0089677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9D212D" w14:paraId="14C9D763" w14:textId="77777777">
        <w:tc>
          <w:tcPr>
            <w:tcW w:w="1255" w:type="dxa"/>
          </w:tcPr>
          <w:p w14:paraId="111A041D" w14:textId="0D0B7F47" w:rsidR="009D212D" w:rsidRDefault="009D212D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E1C7539" w14:textId="7F73803C" w:rsidR="000E5E9E" w:rsidRDefault="000E5E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648D8303" w:rsidR="00706EA6" w:rsidRDefault="00706EA6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16507CC1" w14:textId="0D1E757A" w:rsidR="00706EA6" w:rsidRDefault="00706EA6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171679F9" w:rsidR="00E2209E" w:rsidRDefault="00E220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DB6A697" w14:textId="23E8050D" w:rsidR="00E2209E" w:rsidRDefault="00E220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6AB318DE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A764DFA" w14:textId="54520C6A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40C044FD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64E3F8B6" w14:textId="73CDFF19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43117AB3" w14:textId="4F50AED3" w:rsidR="00221E7A" w:rsidRDefault="00221E7A">
      <w:pPr>
        <w:jc w:val="both"/>
        <w:rPr>
          <w:sz w:val="20"/>
          <w:szCs w:val="21"/>
        </w:rPr>
      </w:pPr>
    </w:p>
    <w:p w14:paraId="654FBEC0" w14:textId="212C789C" w:rsidR="004F40AC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2"/>
      </w:pPr>
      <w:r>
        <w:t>3.2</w:t>
      </w:r>
      <w:r>
        <w:tab/>
        <w:t>Second Round of Email Discussion</w:t>
      </w:r>
    </w:p>
    <w:p w14:paraId="287A127F" w14:textId="77777777" w:rsidR="00942841" w:rsidRDefault="00942841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1"/>
        <w:rPr>
          <w:lang w:val="en-US"/>
        </w:rPr>
      </w:pPr>
      <w:bookmarkStart w:id="2" w:name="_Toc503902285"/>
      <w:bookmarkStart w:id="3" w:name="_Toc415085486"/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2"/>
    <w:bookmarkEnd w:id="3"/>
    <w:p w14:paraId="6A2EFD87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lastRenderedPageBreak/>
        <w:t>References</w:t>
      </w:r>
    </w:p>
    <w:p w14:paraId="4BF1AD78" w14:textId="77777777" w:rsidR="00A779F4" w:rsidRPr="00ED564D" w:rsidRDefault="00A779F4" w:rsidP="00A779F4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Huawei, HiSilicon</w:t>
      </w:r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default" r:id="rId11"/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474E" w14:textId="77777777" w:rsidR="00760EBA" w:rsidRDefault="00760EBA">
      <w:pPr>
        <w:spacing w:after="0" w:line="240" w:lineRule="auto"/>
      </w:pPr>
      <w:r>
        <w:separator/>
      </w:r>
    </w:p>
  </w:endnote>
  <w:endnote w:type="continuationSeparator" w:id="0">
    <w:p w14:paraId="26384872" w14:textId="77777777" w:rsidR="00760EBA" w:rsidRDefault="0076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Arial"/>
    <w:charset w:val="02"/>
    <w:family w:val="modern"/>
    <w:pitch w:val="fixed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341477"/>
    </w:sdtPr>
    <w:sdtEndPr/>
    <w:sdtContent>
      <w:p w14:paraId="0DA33853" w14:textId="0C58EF8C" w:rsidR="00221E7A" w:rsidRDefault="00E97A77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41" w:rsidRPr="00212741">
          <w:rPr>
            <w:noProof/>
            <w:lang w:val="zh-CN" w:eastAsia="zh-CN"/>
          </w:rPr>
          <w:t>5</w:t>
        </w:r>
        <w:r>
          <w:fldChar w:fldCharType="end"/>
        </w:r>
      </w:p>
    </w:sdtContent>
  </w:sdt>
  <w:p w14:paraId="49B48405" w14:textId="77777777" w:rsidR="00221E7A" w:rsidRDefault="00221E7A">
    <w:pPr>
      <w:pStyle w:val="af"/>
    </w:pPr>
  </w:p>
  <w:p w14:paraId="2D3992AD" w14:textId="77777777" w:rsidR="00221E7A" w:rsidRDefault="00221E7A"/>
  <w:p w14:paraId="14BCCF0B" w14:textId="77777777" w:rsidR="00221E7A" w:rsidRDefault="00221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134D7" w14:textId="77777777" w:rsidR="00760EBA" w:rsidRDefault="00760EBA">
      <w:pPr>
        <w:spacing w:after="0" w:line="240" w:lineRule="auto"/>
      </w:pPr>
      <w:r>
        <w:separator/>
      </w:r>
    </w:p>
  </w:footnote>
  <w:footnote w:type="continuationSeparator" w:id="0">
    <w:p w14:paraId="7ECF21F7" w14:textId="77777777" w:rsidR="00760EBA" w:rsidRDefault="0076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5E592" w14:textId="77777777" w:rsidR="00221E7A" w:rsidRDefault="00E97A77">
    <w:pPr>
      <w:pStyle w:val="af0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8B7E55A4"/>
    <w:rsid w:val="0000011C"/>
    <w:rsid w:val="000005A9"/>
    <w:rsid w:val="000005C0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12E1"/>
    <w:rsid w:val="000C1B7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12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833"/>
    <w:rsid w:val="00283E58"/>
    <w:rsid w:val="00284348"/>
    <w:rsid w:val="002845E0"/>
    <w:rsid w:val="00284652"/>
    <w:rsid w:val="00284FEB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FF9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49A1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2505"/>
    <w:rsid w:val="003B2C06"/>
    <w:rsid w:val="003B32CD"/>
    <w:rsid w:val="003B3B37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8F0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3BE9"/>
    <w:rsid w:val="00444734"/>
    <w:rsid w:val="0044535D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74E6"/>
    <w:rsid w:val="00640446"/>
    <w:rsid w:val="006409E6"/>
    <w:rsid w:val="00641245"/>
    <w:rsid w:val="0064194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9AC"/>
    <w:rsid w:val="00671F57"/>
    <w:rsid w:val="006720A4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C13"/>
    <w:rsid w:val="006D5D23"/>
    <w:rsid w:val="006D5E08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3E0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0EBA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874"/>
    <w:rsid w:val="00955913"/>
    <w:rsid w:val="0095596B"/>
    <w:rsid w:val="00955CEF"/>
    <w:rsid w:val="00956571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B94"/>
    <w:rsid w:val="00B13095"/>
    <w:rsid w:val="00B1320C"/>
    <w:rsid w:val="00B136AB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C7B5F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88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5AD"/>
    <w:rsid w:val="00DA3F2A"/>
    <w:rsid w:val="00DA4182"/>
    <w:rsid w:val="00DA480D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E3"/>
    <w:rsid w:val="00E50416"/>
    <w:rsid w:val="00E5072C"/>
    <w:rsid w:val="00E50D27"/>
    <w:rsid w:val="00E50F07"/>
    <w:rsid w:val="00E516FC"/>
    <w:rsid w:val="00E518C8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FC44"/>
  <w15:docId w15:val="{BD837E10-A6C3-439E-9ADD-F070F31B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a3">
    <w:name w:val="Balloon Text"/>
    <w:basedOn w:val="a"/>
    <w:semiHidden/>
    <w:qFormat/>
    <w:pPr>
      <w:spacing w:after="180"/>
    </w:pPr>
    <w:rPr>
      <w:rFonts w:ascii="Tahoma" w:eastAsia="宋体" w:hAnsi="Tahoma" w:cs="Tahoma"/>
      <w:sz w:val="16"/>
      <w:szCs w:val="16"/>
      <w:lang w:val="en-GB" w:eastAsia="en-US"/>
    </w:rPr>
  </w:style>
  <w:style w:type="paragraph" w:styleId="a4">
    <w:name w:val="Body Text"/>
    <w:basedOn w:val="a"/>
    <w:link w:val="a5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a6">
    <w:name w:val="caption"/>
    <w:basedOn w:val="a"/>
    <w:next w:val="a"/>
    <w:link w:val="a7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a8">
    <w:name w:val="annotation reference"/>
    <w:semiHidden/>
    <w:qFormat/>
    <w:rPr>
      <w:sz w:val="16"/>
    </w:rPr>
  </w:style>
  <w:style w:type="paragraph" w:styleId="a9">
    <w:name w:val="annotation text"/>
    <w:basedOn w:val="a"/>
    <w:link w:val="aa"/>
    <w:uiPriority w:val="99"/>
    <w:qFormat/>
    <w:pPr>
      <w:spacing w:after="180"/>
    </w:pPr>
    <w:rPr>
      <w:rFonts w:eastAsia="宋体"/>
      <w:sz w:val="20"/>
      <w:szCs w:val="20"/>
      <w:lang w:val="en-GB" w:eastAsia="en-US"/>
    </w:rPr>
  </w:style>
  <w:style w:type="paragraph" w:styleId="ab">
    <w:name w:val="annotation subject"/>
    <w:basedOn w:val="a9"/>
    <w:next w:val="a9"/>
    <w:semiHidden/>
    <w:qFormat/>
    <w:rPr>
      <w:b/>
      <w:bCs/>
    </w:rPr>
  </w:style>
  <w:style w:type="paragraph" w:styleId="ac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FollowedHyperlink"/>
    <w:qFormat/>
    <w:rPr>
      <w:color w:val="800080"/>
      <w:u w:val="single"/>
    </w:rPr>
  </w:style>
  <w:style w:type="paragraph" w:styleId="af">
    <w:name w:val="footer"/>
    <w:basedOn w:val="af0"/>
    <w:link w:val="af1"/>
    <w:uiPriority w:val="99"/>
    <w:qFormat/>
    <w:pPr>
      <w:jc w:val="center"/>
    </w:pPr>
    <w:rPr>
      <w:i/>
    </w:rPr>
  </w:style>
  <w:style w:type="paragraph" w:styleId="af0">
    <w:name w:val="header"/>
    <w:qFormat/>
    <w:pPr>
      <w:widowControl w:val="0"/>
    </w:pPr>
    <w:rPr>
      <w:rFonts w:ascii="Arial" w:eastAsia="宋体" w:hAnsi="Arial"/>
      <w:b/>
      <w:sz w:val="18"/>
      <w:lang w:val="en-GB"/>
    </w:rPr>
  </w:style>
  <w:style w:type="character" w:styleId="af2">
    <w:name w:val="footnote reference"/>
    <w:semiHidden/>
    <w:qFormat/>
    <w:rPr>
      <w:b/>
      <w:position w:val="6"/>
      <w:sz w:val="16"/>
    </w:rPr>
  </w:style>
  <w:style w:type="paragraph" w:styleId="af3">
    <w:name w:val="footnote text"/>
    <w:basedOn w:val="a"/>
    <w:semiHidden/>
    <w:qFormat/>
    <w:pPr>
      <w:keepLines/>
      <w:ind w:left="454" w:hanging="454"/>
    </w:pPr>
    <w:rPr>
      <w:rFonts w:eastAsia="宋体"/>
      <w:sz w:val="16"/>
      <w:szCs w:val="20"/>
      <w:lang w:val="en-GB" w:eastAsia="en-US"/>
    </w:rPr>
  </w:style>
  <w:style w:type="character" w:styleId="af4">
    <w:name w:val="Hyperlink"/>
    <w:uiPriority w:val="99"/>
    <w:qFormat/>
    <w:rPr>
      <w:color w:val="0000FF"/>
      <w:u w:val="single"/>
    </w:rPr>
  </w:style>
  <w:style w:type="paragraph" w:styleId="10">
    <w:name w:val="index 1"/>
    <w:basedOn w:val="a"/>
    <w:next w:val="a"/>
    <w:semiHidden/>
    <w:qFormat/>
    <w:pPr>
      <w:keepLines/>
    </w:pPr>
    <w:rPr>
      <w:rFonts w:eastAsia="宋体"/>
      <w:sz w:val="20"/>
      <w:szCs w:val="20"/>
      <w:lang w:val="en-GB" w:eastAsia="en-US"/>
    </w:rPr>
  </w:style>
  <w:style w:type="paragraph" w:styleId="20">
    <w:name w:val="index 2"/>
    <w:basedOn w:val="10"/>
    <w:next w:val="a"/>
    <w:semiHidden/>
    <w:qFormat/>
    <w:pPr>
      <w:ind w:left="284"/>
    </w:pPr>
  </w:style>
  <w:style w:type="paragraph" w:styleId="af5">
    <w:name w:val="List"/>
    <w:basedOn w:val="a"/>
    <w:qFormat/>
    <w:pPr>
      <w:spacing w:after="180"/>
      <w:ind w:left="568" w:hanging="284"/>
    </w:pPr>
    <w:rPr>
      <w:rFonts w:eastAsia="宋体"/>
      <w:sz w:val="20"/>
      <w:szCs w:val="20"/>
      <w:lang w:val="en-GB" w:eastAsia="en-US"/>
    </w:rPr>
  </w:style>
  <w:style w:type="paragraph" w:styleId="21">
    <w:name w:val="List 2"/>
    <w:basedOn w:val="af5"/>
    <w:qFormat/>
    <w:pPr>
      <w:ind w:left="851"/>
    </w:pPr>
  </w:style>
  <w:style w:type="paragraph" w:styleId="30">
    <w:name w:val="List 3"/>
    <w:basedOn w:val="21"/>
    <w:qFormat/>
    <w:pPr>
      <w:ind w:left="1135"/>
    </w:pPr>
  </w:style>
  <w:style w:type="paragraph" w:styleId="41">
    <w:name w:val="List 4"/>
    <w:basedOn w:val="30"/>
    <w:qFormat/>
    <w:pPr>
      <w:ind w:left="1418"/>
    </w:pPr>
  </w:style>
  <w:style w:type="paragraph" w:styleId="50">
    <w:name w:val="List 5"/>
    <w:basedOn w:val="41"/>
    <w:qFormat/>
    <w:pPr>
      <w:ind w:left="1702"/>
    </w:pPr>
  </w:style>
  <w:style w:type="paragraph" w:styleId="af6">
    <w:name w:val="List Bullet"/>
    <w:basedOn w:val="af5"/>
    <w:qFormat/>
  </w:style>
  <w:style w:type="paragraph" w:styleId="22">
    <w:name w:val="List Bullet 2"/>
    <w:basedOn w:val="af6"/>
    <w:qFormat/>
    <w:pPr>
      <w:ind w:left="851"/>
    </w:pPr>
  </w:style>
  <w:style w:type="paragraph" w:styleId="31">
    <w:name w:val="List Bullet 3"/>
    <w:basedOn w:val="22"/>
    <w:qFormat/>
    <w:pPr>
      <w:ind w:left="1135"/>
    </w:pPr>
  </w:style>
  <w:style w:type="paragraph" w:styleId="42">
    <w:name w:val="List Bullet 4"/>
    <w:basedOn w:val="31"/>
    <w:qFormat/>
    <w:pPr>
      <w:ind w:left="1418"/>
    </w:pPr>
  </w:style>
  <w:style w:type="paragraph" w:styleId="51">
    <w:name w:val="List Bullet 5"/>
    <w:basedOn w:val="42"/>
    <w:qFormat/>
    <w:pPr>
      <w:ind w:left="1702"/>
    </w:pPr>
  </w:style>
  <w:style w:type="paragraph" w:styleId="af7">
    <w:name w:val="List Number"/>
    <w:basedOn w:val="af5"/>
    <w:qFormat/>
  </w:style>
  <w:style w:type="paragraph" w:styleId="23">
    <w:name w:val="List Number 2"/>
    <w:basedOn w:val="af7"/>
    <w:qFormat/>
    <w:pPr>
      <w:ind w:left="851"/>
    </w:pPr>
  </w:style>
  <w:style w:type="paragraph" w:styleId="af8">
    <w:name w:val="Normal (Web)"/>
    <w:basedOn w:val="a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af9">
    <w:name w:val="Strong"/>
    <w:basedOn w:val="a0"/>
    <w:uiPriority w:val="22"/>
    <w:qFormat/>
    <w:rPr>
      <w:b/>
      <w:bCs/>
    </w:rPr>
  </w:style>
  <w:style w:type="table" w:styleId="af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able of figures"/>
    <w:basedOn w:val="a4"/>
    <w:next w:val="a"/>
    <w:uiPriority w:val="99"/>
    <w:unhideWhenUsed/>
    <w:qFormat/>
    <w:pPr>
      <w:ind w:left="1701" w:hanging="1701"/>
      <w:jc w:val="left"/>
    </w:pPr>
    <w:rPr>
      <w:b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/>
    </w:r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eastAsia="宋体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 w:after="180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paragraph" w:customStyle="1" w:styleId="NO">
    <w:name w:val="NO"/>
    <w:basedOn w:val="a"/>
    <w:qFormat/>
    <w:pPr>
      <w:keepLines/>
      <w:spacing w:after="180"/>
      <w:ind w:left="1135" w:hanging="851"/>
    </w:pPr>
    <w:rPr>
      <w:rFonts w:eastAsia="宋体"/>
      <w:sz w:val="20"/>
      <w:szCs w:val="20"/>
      <w:lang w:val="en-GB" w:eastAsia="en-US"/>
    </w:rPr>
  </w:style>
  <w:style w:type="paragraph" w:customStyle="1" w:styleId="EX">
    <w:name w:val="EX"/>
    <w:basedOn w:val="a"/>
    <w:qFormat/>
    <w:pPr>
      <w:keepLines/>
      <w:spacing w:after="180"/>
      <w:ind w:left="1702" w:hanging="1418"/>
    </w:pPr>
    <w:rPr>
      <w:rFonts w:eastAsia="宋体"/>
      <w:sz w:val="20"/>
      <w:szCs w:val="20"/>
      <w:lang w:val="en-GB" w:eastAsia="en-US"/>
    </w:rPr>
  </w:style>
  <w:style w:type="paragraph" w:customStyle="1" w:styleId="FP">
    <w:name w:val="FP"/>
    <w:basedOn w:val="a"/>
    <w:qFormat/>
    <w:rPr>
      <w:rFonts w:eastAsia="宋体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宋体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宋体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f5"/>
    <w:link w:val="B1Char1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0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宋体" w:hAnsi="Arial"/>
      <w:lang w:val="en-GB"/>
    </w:rPr>
  </w:style>
  <w:style w:type="paragraph" w:customStyle="1" w:styleId="tdoc-header">
    <w:name w:val="tdoc-header"/>
    <w:qFormat/>
    <w:rPr>
      <w:rFonts w:ascii="Arial" w:eastAsia="宋体" w:hAnsi="Arial"/>
      <w:sz w:val="24"/>
      <w:lang w:val="en-GB"/>
    </w:rPr>
  </w:style>
  <w:style w:type="character" w:customStyle="1" w:styleId="40">
    <w:name w:val="标题 4 字符"/>
    <w:link w:val="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afc">
    <w:name w:val="List Paragraph"/>
    <w:aliases w:val="- Bullets,?? ??,?????,????,Lista1,列出段落,목록 단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afd"/>
    <w:uiPriority w:val="34"/>
    <w:qFormat/>
    <w:pPr>
      <w:spacing w:after="180"/>
      <w:ind w:left="720"/>
      <w:contextualSpacing/>
    </w:pPr>
    <w:rPr>
      <w:rFonts w:eastAsia="宋体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aa">
    <w:name w:val="批注文字 字符"/>
    <w:link w:val="a9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1">
    <w:name w:val="未解決のメンション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7">
    <w:name w:val="题注 字符"/>
    <w:link w:val="a6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a5">
    <w:name w:val="正文文本 字符"/>
    <w:basedOn w:val="a0"/>
    <w:link w:val="a4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a0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a4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afd">
    <w:name w:val="列表段落 字符"/>
    <w:aliases w:val="- Bullets 字符,?? ?? 字符,????? 字符,???? 字符,Lista1 字符,列出段落 字符,목록 단락 字符,リスト段落 字符,列出段落1 字符,中等深浅网格 1 - 着色 21 字符,¥¡¡¡¡ì¬º¥¹¥È¶ÎÂä 字符,ÁÐ³ö¶ÎÂä 字符,列表段落1 字符,—ño’i—Ž 字符,¥ê¥¹¥È¶ÎÂä 字符,1st level - Bullet List Paragraph 字符,Lettre d'introduction 字符,목록단락 字符"/>
    <w:link w:val="afc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a4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2">
    <w:name w:val="修订1"/>
    <w:hidden/>
    <w:uiPriority w:val="99"/>
    <w:semiHidden/>
    <w:qFormat/>
    <w:rPr>
      <w:rFonts w:eastAsia="宋体"/>
      <w:lang w:val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2">
    <w:name w:val="列出段落3"/>
    <w:basedOn w:val="a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0">
    <w:name w:val="列出段落7"/>
    <w:basedOn w:val="a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af1">
    <w:name w:val="页脚 字符"/>
    <w:basedOn w:val="a0"/>
    <w:link w:val="af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a"/>
    <w:qFormat/>
    <w:pPr>
      <w:spacing w:before="100" w:beforeAutospacing="1" w:after="100" w:afterAutospacing="1"/>
    </w:pPr>
  </w:style>
  <w:style w:type="table" w:customStyle="1" w:styleId="TableGrid1">
    <w:name w:val="Table Grid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a1"/>
    <w:qFormat/>
    <w:rPr>
      <w:rFonts w:ascii="Calibri" w:eastAsia="宋体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a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0AF8F0-93CB-4DBC-8E45-2E744383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Apple Inc.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李娜-5G</cp:lastModifiedBy>
  <cp:revision>2</cp:revision>
  <cp:lastPrinted>1900-12-31T16:00:00Z</cp:lastPrinted>
  <dcterms:created xsi:type="dcterms:W3CDTF">2021-08-17T03:18:00Z</dcterms:created>
  <dcterms:modified xsi:type="dcterms:W3CDTF">2021-08-17T03:18:00Z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