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820D" w14:textId="77777777" w:rsidR="00D307F1" w:rsidRDefault="00E47A52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>
        <w:rPr>
          <w:rFonts w:eastAsia="宋体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>
        <w:rPr>
          <w:rFonts w:eastAsia="宋体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223AD08A" w14:textId="77777777" w:rsidR="00D307F1" w:rsidRDefault="00E47A52">
      <w:pPr>
        <w:pStyle w:val="ab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455F113A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宋体" w:hAnsi="Arial" w:cs="Arial" w:hint="eastAsia"/>
          <w:sz w:val="24"/>
          <w:szCs w:val="24"/>
          <w:lang w:eastAsia="zh-CN"/>
        </w:rPr>
        <w:t>7.1</w:t>
      </w:r>
    </w:p>
    <w:p w14:paraId="6B24C8C4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7D36FA37" w14:textId="77777777" w:rsidR="00D307F1" w:rsidRDefault="00E47A52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5"/>
      <w:bookmarkStart w:id="3" w:name="OLE_LINK6"/>
      <w:r>
        <w:rPr>
          <w:rFonts w:ascii="Arial" w:hAnsi="Arial" w:cs="Arial"/>
          <w:sz w:val="24"/>
          <w:szCs w:val="24"/>
        </w:rPr>
        <w:t xml:space="preserve">Summary </w:t>
      </w:r>
      <w:r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[106-e-NR-7.1CRs-05]</w:t>
      </w:r>
    </w:p>
    <w:bookmarkEnd w:id="2"/>
    <w:bookmarkEnd w:id="3"/>
    <w:p w14:paraId="412A094A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04B338B9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6A93C6B4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“[106-e-NR-7.1CRs-05] Issue#10: Discussion on cancellation of semi-static transmission due to dynamic transmission</w:t>
      </w:r>
      <w:r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423ADBC1" w14:textId="77777777" w:rsidR="00D307F1" w:rsidRDefault="00D35C24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val="en-GB" w:eastAsia="zh-CN"/>
        </w:rPr>
      </w:pPr>
      <w:hyperlink r:id="rId9" w:history="1">
        <w:r w:rsidR="00E47A52">
          <w:rPr>
            <w:rStyle w:val="af0"/>
            <w:rFonts w:ascii="Times New Roman" w:eastAsia="宋体" w:hAnsi="Times New Roman"/>
            <w:sz w:val="20"/>
            <w:szCs w:val="20"/>
            <w:lang w:val="en-GB" w:eastAsia="zh-CN"/>
          </w:rPr>
          <w:t>R1-2106928</w:t>
        </w:r>
      </w:hyperlink>
      <w:r w:rsidR="00E47A52">
        <w:rPr>
          <w:rFonts w:ascii="Times New Roman" w:eastAsia="宋体" w:hAnsi="Times New Roman"/>
          <w:sz w:val="20"/>
          <w:szCs w:val="20"/>
          <w:lang w:val="en-GB" w:eastAsia="zh-CN"/>
        </w:rPr>
        <w:tab/>
        <w:t>Discussion on cancellation of semi-static transmission due to dynamic transmission</w:t>
      </w:r>
      <w:r w:rsidR="00E47A52">
        <w:rPr>
          <w:rFonts w:ascii="Times New Roman" w:eastAsia="宋体" w:hAnsi="Times New Roman"/>
          <w:sz w:val="20"/>
          <w:szCs w:val="20"/>
          <w:lang w:val="en-GB" w:eastAsia="zh-CN"/>
        </w:rPr>
        <w:tab/>
        <w:t>CATT</w:t>
      </w:r>
    </w:p>
    <w:p w14:paraId="670D5852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eastAsia="宋体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0602407F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>For operation on a single carrier in unpaired spectrum,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f</w:t>
      </w:r>
      <w:r>
        <w:rPr>
          <w:rFonts w:ascii="Times New Roman" w:hAnsi="Times New Roman"/>
          <w:sz w:val="20"/>
          <w:szCs w:val="20"/>
        </w:rPr>
        <w:t>or an overlapping case of a DL/UL semi-static transmission and an UL/DL dynamic transmission which collides with semi-static DL/UL symbol(s) or SSB/valid PRACH occasion,</w:t>
      </w:r>
    </w:p>
    <w:p w14:paraId="1F710189" w14:textId="77777777" w:rsidR="00D307F1" w:rsidRDefault="00E47A52">
      <w:pPr>
        <w:pStyle w:val="a6"/>
        <w:numPr>
          <w:ilvl w:val="0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/>
          <w:sz w:val="20"/>
          <w:szCs w:val="20"/>
          <w:lang w:val="en-GB" w:eastAsia="zh-CN"/>
        </w:rPr>
        <w:t>Understanding 1: both the dynamic transmission colliding with semi-static DL/UL symbol(s) or SSB/valid PRACH occasion and the semi-static transmission overlapping with the dynamic transmission are not transmitted / received</w:t>
      </w: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>;</w:t>
      </w:r>
    </w:p>
    <w:p w14:paraId="4D549D7D" w14:textId="77777777" w:rsidR="00D307F1" w:rsidRDefault="00E47A52">
      <w:pPr>
        <w:pStyle w:val="a6"/>
        <w:numPr>
          <w:ilvl w:val="0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/>
          <w:sz w:val="20"/>
          <w:szCs w:val="20"/>
          <w:lang w:val="en-GB" w:eastAsia="zh-CN"/>
        </w:rPr>
        <w:t>Understanding 2: semi-static transmission could be transmitted / received while dynamic transmission colliding with semi-static DL/UL symbol(s) or SSB/valid PRACH occasion is dropped.</w:t>
      </w:r>
    </w:p>
    <w:p w14:paraId="422AB182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>More detailed elaboration of the case and the above understandings can be found in R1-2106928.</w:t>
      </w:r>
    </w:p>
    <w:p w14:paraId="7AE88DAF" w14:textId="77777777" w:rsidR="00D307F1" w:rsidRDefault="00E47A52">
      <w:pPr>
        <w:spacing w:after="0"/>
        <w:jc w:val="both"/>
        <w:rPr>
          <w:rFonts w:ascii="Times New Roman" w:eastAsia="宋体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Do you agree with </w:t>
      </w:r>
      <w:r>
        <w:rPr>
          <w:rFonts w:ascii="Times New Roman" w:eastAsia="宋体" w:hAnsi="Times New Roman" w:hint="eastAsia"/>
          <w:b/>
          <w:sz w:val="20"/>
          <w:lang w:eastAsia="zh-CN"/>
        </w:rPr>
        <w:t>understanding 1 or 2 above?</w:t>
      </w:r>
    </w:p>
    <w:tbl>
      <w:tblPr>
        <w:tblStyle w:val="ad"/>
        <w:tblW w:w="4877" w:type="pct"/>
        <w:tblLook w:val="04A0" w:firstRow="1" w:lastRow="0" w:firstColumn="1" w:lastColumn="0" w:noHBand="0" w:noVBand="1"/>
      </w:tblPr>
      <w:tblGrid>
        <w:gridCol w:w="1453"/>
        <w:gridCol w:w="2521"/>
        <w:gridCol w:w="5042"/>
      </w:tblGrid>
      <w:tr w:rsidR="00D307F1" w14:paraId="45BD74FE" w14:textId="77777777" w:rsidTr="00595110">
        <w:trPr>
          <w:trHeight w:val="20"/>
        </w:trPr>
        <w:tc>
          <w:tcPr>
            <w:tcW w:w="806" w:type="pct"/>
            <w:shd w:val="clear" w:color="auto" w:fill="E7E6E6" w:themeFill="background2"/>
            <w:vAlign w:val="center"/>
          </w:tcPr>
          <w:p w14:paraId="46905B06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398" w:type="pct"/>
            <w:shd w:val="clear" w:color="auto" w:fill="E7E6E6" w:themeFill="background2"/>
            <w:vAlign w:val="center"/>
          </w:tcPr>
          <w:p w14:paraId="2B00D71D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Understanding 1 or 2</w:t>
            </w:r>
          </w:p>
        </w:tc>
        <w:tc>
          <w:tcPr>
            <w:tcW w:w="2796" w:type="pct"/>
            <w:shd w:val="clear" w:color="auto" w:fill="E7E6E6" w:themeFill="background2"/>
            <w:vAlign w:val="center"/>
          </w:tcPr>
          <w:p w14:paraId="5A493685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307F1" w14:paraId="7D756069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03E049A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vivo</w:t>
            </w:r>
          </w:p>
        </w:tc>
        <w:tc>
          <w:tcPr>
            <w:tcW w:w="1398" w:type="pct"/>
          </w:tcPr>
          <w:p w14:paraId="364330A2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4AAD8287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Current spec. reflects understanding 1.   </w:t>
            </w:r>
          </w:p>
        </w:tc>
      </w:tr>
      <w:tr w:rsidR="00D307F1" w14:paraId="4C1B7F8D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B00A784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Huawei, HiSilicon</w:t>
            </w:r>
          </w:p>
        </w:tc>
        <w:tc>
          <w:tcPr>
            <w:tcW w:w="1398" w:type="pct"/>
          </w:tcPr>
          <w:p w14:paraId="032720BD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Und. 2</w:t>
            </w:r>
          </w:p>
        </w:tc>
        <w:tc>
          <w:tcPr>
            <w:tcW w:w="2796" w:type="pct"/>
            <w:vAlign w:val="center"/>
          </w:tcPr>
          <w:p w14:paraId="0F1FA577" w14:textId="77777777" w:rsidR="00D307F1" w:rsidRDefault="00D307F1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D307F1" w14:paraId="53604B7F" w14:textId="77777777" w:rsidTr="00595110">
        <w:trPr>
          <w:trHeight w:val="20"/>
        </w:trPr>
        <w:tc>
          <w:tcPr>
            <w:tcW w:w="806" w:type="pct"/>
            <w:vAlign w:val="center"/>
          </w:tcPr>
          <w:p w14:paraId="55F93357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1398" w:type="pct"/>
          </w:tcPr>
          <w:p w14:paraId="543378C1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Not agree</w:t>
            </w:r>
          </w:p>
        </w:tc>
        <w:tc>
          <w:tcPr>
            <w:tcW w:w="2796" w:type="pct"/>
            <w:vAlign w:val="center"/>
          </w:tcPr>
          <w:p w14:paraId="55AC7062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pec does not specify the order of the texts. Therefore, it is up to UE which order to process the relevant steps and hence up to UE whether to transmit/receive semi-static transmission.</w:t>
            </w:r>
          </w:p>
        </w:tc>
      </w:tr>
      <w:tr w:rsidR="00D307F1" w14:paraId="250A6AE2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03D368E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OPPO</w:t>
            </w:r>
          </w:p>
        </w:tc>
        <w:tc>
          <w:tcPr>
            <w:tcW w:w="1398" w:type="pct"/>
          </w:tcPr>
          <w:p w14:paraId="3762C33F" w14:textId="77777777" w:rsidR="00D307F1" w:rsidRDefault="00D307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pct"/>
            <w:vAlign w:val="center"/>
          </w:tcPr>
          <w:p w14:paraId="62E923AC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 xml:space="preserve">We agree with QC that it is up to UE implementation whether to process the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semi-static 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val="en-GB" w:eastAsia="zh-CN"/>
              </w:rPr>
              <w:t xml:space="preserve">UL/DL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transmission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val="en-GB" w:eastAsia="zh-CN"/>
              </w:rPr>
              <w:t>.</w:t>
            </w:r>
          </w:p>
        </w:tc>
      </w:tr>
      <w:tr w:rsidR="00D307F1" w14:paraId="24C391C5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BB31B13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1398" w:type="pct"/>
          </w:tcPr>
          <w:p w14:paraId="41225981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Either is fine.</w:t>
            </w:r>
          </w:p>
        </w:tc>
        <w:tc>
          <w:tcPr>
            <w:tcW w:w="2796" w:type="pct"/>
            <w:vAlign w:val="center"/>
          </w:tcPr>
          <w:p w14:paraId="5DD08D24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possible, it would be good to clarify UE behavior when such configuration and scheduling occurs. </w:t>
            </w:r>
          </w:p>
        </w:tc>
      </w:tr>
      <w:tr w:rsidR="00D307F1" w14:paraId="0AFF43E4" w14:textId="77777777" w:rsidTr="00595110">
        <w:trPr>
          <w:trHeight w:val="20"/>
        </w:trPr>
        <w:tc>
          <w:tcPr>
            <w:tcW w:w="806" w:type="pct"/>
            <w:vAlign w:val="center"/>
          </w:tcPr>
          <w:p w14:paraId="7DBBF76C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398" w:type="pct"/>
          </w:tcPr>
          <w:p w14:paraId="2F0FE7AA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Understanding 2</w:t>
            </w:r>
          </w:p>
        </w:tc>
        <w:tc>
          <w:tcPr>
            <w:tcW w:w="2796" w:type="pct"/>
            <w:vAlign w:val="center"/>
          </w:tcPr>
          <w:p w14:paraId="1037414C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Understand 1 is not only inefficient due to the unnecessary dropping of the semi-static transmission, but would also imply that network should avoid configuring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semi-static 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DL/UL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transmission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together with scheduling UL/DL dynamic transmission for typical cases. This would cause big restriction for network implementation especially when repetition is enabled for the dynamic transmission. </w:t>
            </w:r>
          </w:p>
          <w:p w14:paraId="32D0C099" w14:textId="77777777" w:rsidR="00D307F1" w:rsidRDefault="00D307F1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  <w:p w14:paraId="0D798C12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Per our understanding, there should be no timeline issue for Understanding 2, as a UE should always know that dynamic UL/DL transmission is not allowed on s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emi-static DL/UL symbol(s) or SSB/valid PRACH occasion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. Then, a UE could always prepare DL/UL reception/transmission on these symbols for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semi-static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signals. </w:t>
            </w:r>
          </w:p>
        </w:tc>
      </w:tr>
      <w:tr w:rsidR="00085083" w14:paraId="5B9E4DE6" w14:textId="77777777" w:rsidTr="00595110">
        <w:trPr>
          <w:trHeight w:val="20"/>
        </w:trPr>
        <w:tc>
          <w:tcPr>
            <w:tcW w:w="806" w:type="pct"/>
            <w:vAlign w:val="center"/>
          </w:tcPr>
          <w:p w14:paraId="55E031EE" w14:textId="2043B955" w:rsidR="00085083" w:rsidRDefault="00085083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lastRenderedPageBreak/>
              <w:t>DOCOMO</w:t>
            </w:r>
          </w:p>
        </w:tc>
        <w:tc>
          <w:tcPr>
            <w:tcW w:w="1398" w:type="pct"/>
          </w:tcPr>
          <w:p w14:paraId="14E85FFD" w14:textId="5BDA754F" w:rsidR="00085083" w:rsidRDefault="00085083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31B72F4C" w14:textId="343B2510" w:rsidR="00085083" w:rsidRPr="00085083" w:rsidRDefault="00085083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urrent spec says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collision handling for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1)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dynamic DL/UL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transmission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vs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semi-static UL/DL transmission and 2) dynamic DL/UL transmission w/ repetitions vs semi-static UL/DL symbols are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carried out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independently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if scheduling/triggering DCI for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the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dynamic DL/UL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transmission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is detected</w:t>
            </w:r>
          </w:p>
        </w:tc>
      </w:tr>
      <w:tr w:rsidR="004931B2" w14:paraId="5277AEFC" w14:textId="77777777" w:rsidTr="00595110">
        <w:trPr>
          <w:trHeight w:val="20"/>
        </w:trPr>
        <w:tc>
          <w:tcPr>
            <w:tcW w:w="806" w:type="pct"/>
            <w:vAlign w:val="center"/>
          </w:tcPr>
          <w:p w14:paraId="602AF5A2" w14:textId="331060E6" w:rsidR="004931B2" w:rsidRDefault="004931B2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1398" w:type="pct"/>
          </w:tcPr>
          <w:p w14:paraId="6B1E407C" w14:textId="0187C9FA" w:rsidR="004931B2" w:rsidRDefault="004931B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1352E944" w14:textId="77777777" w:rsidR="001507DA" w:rsidRDefault="004931B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Similar views as vivo, DCM </w:t>
            </w:r>
            <w:r w:rsidR="006A7FB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that the collision handling for the two cases are specified independently</w:t>
            </w:r>
            <w:r w:rsidR="00DB33C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in the specs</w:t>
            </w:r>
            <w:r w:rsidR="00CA6012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and the UE behavior is defined </w:t>
            </w:r>
            <w:r w:rsidR="0049209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in terms of the received higher layer configurations or L1 indications/triggers, </w:t>
            </w:r>
            <w:r w:rsidR="00D624A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and </w:t>
            </w:r>
            <w:r w:rsidR="0049209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not 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expected to take into account any</w:t>
            </w:r>
            <w:r w:rsidR="00495ED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cancelations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that may change 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one of the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collision event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s</w:t>
            </w:r>
            <w:r w:rsidR="00DB33C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. </w:t>
            </w:r>
          </w:p>
          <w:p w14:paraId="55D26FA6" w14:textId="7C0C8723" w:rsidR="00873DF1" w:rsidRDefault="00495ED1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In this regard,</w:t>
            </w:r>
            <w:r w:rsidR="00C2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although the order of processing the two collision events is not specified,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</w:t>
            </w:r>
            <w:r w:rsidR="00EE3BD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UE should not</w:t>
            </w:r>
            <w:r w:rsidR="0069757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determine Tx/Rx </w:t>
            </w:r>
            <w:r w:rsidR="00057B5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after</w:t>
            </w:r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any prior </w:t>
            </w:r>
            <w:r w:rsidR="00057B5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related </w:t>
            </w:r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cancelations</w:t>
            </w:r>
            <w:r w:rsidR="00147874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, but based on the higher layer configuration and L1 indication themselves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.</w:t>
            </w:r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</w:t>
            </w:r>
          </w:p>
          <w:p w14:paraId="13D9775E" w14:textId="77777777" w:rsidR="00057B5A" w:rsidRDefault="00057B5A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  <w:p w14:paraId="32546D14" w14:textId="6D9F5053" w:rsidR="004931B2" w:rsidRDefault="00DB33CB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Understanding 2 </w:t>
            </w:r>
            <w:r w:rsidR="00350079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mandates the particular order (or alternatively, re-evaluation) of checking the two collision</w:t>
            </w:r>
            <w:r w:rsidR="00E8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events, which would be a NBC change</w:t>
            </w:r>
            <w:r w:rsidR="002E331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(current UE implementation may already decide to cancel the semi-static Tx/Rx </w:t>
            </w:r>
            <w:r w:rsidR="00873DF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upon reception of the dynamic trigger, regardless of whether the dynamic scheduling is also to be dropped due to some other collision)</w:t>
            </w:r>
            <w:r w:rsidR="00E8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. </w:t>
            </w:r>
          </w:p>
          <w:p w14:paraId="029CBFD3" w14:textId="563109DE" w:rsidR="00CA6012" w:rsidRDefault="00CA601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</w:tr>
      <w:tr w:rsidR="00595110" w14:paraId="0A3445DB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53D338E" w14:textId="1E0CD8BA" w:rsidR="00595110" w:rsidRDefault="00595110" w:rsidP="0059511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Sharp</w:t>
            </w:r>
          </w:p>
        </w:tc>
        <w:tc>
          <w:tcPr>
            <w:tcW w:w="1398" w:type="pct"/>
          </w:tcPr>
          <w:p w14:paraId="07EF9399" w14:textId="6DE31D2D" w:rsidR="00595110" w:rsidRDefault="00595110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0CFE133A" w14:textId="092E5C3D" w:rsidR="00595110" w:rsidRDefault="00595110" w:rsidP="005951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Agree with vivo, DOCOMO and Intel. Current spec. reflects understanding 1.   </w:t>
            </w:r>
          </w:p>
        </w:tc>
      </w:tr>
      <w:tr w:rsidR="000A6281" w14:paraId="7BE48F83" w14:textId="77777777" w:rsidTr="00595110">
        <w:trPr>
          <w:trHeight w:val="20"/>
        </w:trPr>
        <w:tc>
          <w:tcPr>
            <w:tcW w:w="806" w:type="pct"/>
            <w:vAlign w:val="center"/>
          </w:tcPr>
          <w:p w14:paraId="6C3CDD8F" w14:textId="506BF4E1" w:rsidR="000A6281" w:rsidRDefault="000A6281" w:rsidP="005951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Samsung</w:t>
            </w:r>
          </w:p>
        </w:tc>
        <w:tc>
          <w:tcPr>
            <w:tcW w:w="1398" w:type="pct"/>
          </w:tcPr>
          <w:p w14:paraId="760CA6BD" w14:textId="1E82A4B8" w:rsidR="000A6281" w:rsidRDefault="000A6281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Not agree</w:t>
            </w:r>
          </w:p>
        </w:tc>
        <w:tc>
          <w:tcPr>
            <w:tcW w:w="2796" w:type="pct"/>
            <w:vAlign w:val="center"/>
          </w:tcPr>
          <w:p w14:paraId="5E65A129" w14:textId="2A880A67" w:rsidR="000A6281" w:rsidRDefault="000A6281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Since current specification doesn</w:t>
            </w:r>
            <w:r>
              <w:rPr>
                <w:rFonts w:ascii="Times New Roman" w:hAnsi="Times New Roman"/>
                <w:sz w:val="20"/>
                <w:szCs w:val="20"/>
              </w:rPr>
              <w:t>’t say one way or another explicitly (and even there is no RAN1 related conclusion/agreement), clarifying one way has potential NBC issue.</w:t>
            </w:r>
          </w:p>
        </w:tc>
      </w:tr>
      <w:tr w:rsidR="001C7D04" w14:paraId="1E617CD5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A327EC5" w14:textId="70333769" w:rsidR="001C7D04" w:rsidRPr="001C7D04" w:rsidRDefault="001C7D04" w:rsidP="0059511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preadtrum</w:t>
            </w:r>
          </w:p>
        </w:tc>
        <w:tc>
          <w:tcPr>
            <w:tcW w:w="1398" w:type="pct"/>
          </w:tcPr>
          <w:p w14:paraId="3E3628A1" w14:textId="6B6E8D2D" w:rsidR="001C7D04" w:rsidRPr="001C7D04" w:rsidRDefault="001C7D04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Up to UE implementation</w:t>
            </w:r>
          </w:p>
        </w:tc>
        <w:tc>
          <w:tcPr>
            <w:tcW w:w="2796" w:type="pct"/>
            <w:vAlign w:val="center"/>
          </w:tcPr>
          <w:p w14:paraId="3EC172E4" w14:textId="707E92F8" w:rsidR="001C7D04" w:rsidRPr="001C7D04" w:rsidRDefault="001C7D04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ince these two different operations happen at same time, there are no clear statement of the order for thus problem, it can up to UE implementation for these cases. </w:t>
            </w:r>
          </w:p>
        </w:tc>
      </w:tr>
    </w:tbl>
    <w:p w14:paraId="7DDC41E3" w14:textId="77777777" w:rsidR="00D307F1" w:rsidRDefault="00D307F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5D8AD49" w14:textId="77777777" w:rsidR="00D307F1" w:rsidRDefault="00E47A52">
      <w:pPr>
        <w:spacing w:after="0"/>
        <w:jc w:val="both"/>
        <w:rPr>
          <w:rFonts w:ascii="Times New Roman" w:eastAsia="宋体" w:hAnsi="Times New Roman" w:cs="Arial"/>
          <w:b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Q2: Do you </w:t>
      </w:r>
      <w:r>
        <w:rPr>
          <w:rFonts w:ascii="Times New Roman" w:eastAsia="宋体" w:hAnsi="Times New Roman" w:hint="eastAsia"/>
          <w:b/>
          <w:sz w:val="20"/>
          <w:lang w:eastAsia="zh-CN"/>
        </w:rPr>
        <w:t xml:space="preserve">think it </w:t>
      </w:r>
      <w:r>
        <w:rPr>
          <w:rFonts w:ascii="Times New Roman" w:eastAsia="宋体" w:hAnsi="Times New Roman"/>
          <w:b/>
          <w:sz w:val="20"/>
          <w:lang w:eastAsia="zh-CN"/>
        </w:rPr>
        <w:t>necessary</w:t>
      </w:r>
      <w:r>
        <w:rPr>
          <w:rFonts w:ascii="Times New Roman" w:eastAsia="宋体" w:hAnsi="Times New Roman" w:hint="eastAsia"/>
          <w:b/>
          <w:sz w:val="20"/>
          <w:lang w:eastAsia="zh-CN"/>
        </w:rPr>
        <w:t xml:space="preserve"> to clarify the intended UE </w:t>
      </w:r>
      <w:r>
        <w:rPr>
          <w:rFonts w:ascii="Times New Roman" w:eastAsia="宋体" w:hAnsi="Times New Roman"/>
          <w:b/>
          <w:sz w:val="20"/>
          <w:lang w:eastAsia="zh-CN"/>
        </w:rPr>
        <w:t>behavior</w:t>
      </w:r>
      <w:r>
        <w:rPr>
          <w:rFonts w:ascii="Times New Roman" w:eastAsia="宋体" w:hAnsi="Times New Roman" w:hint="eastAsia"/>
          <w:b/>
          <w:sz w:val="20"/>
          <w:lang w:eastAsia="zh-CN"/>
        </w:rPr>
        <w:t xml:space="preserve"> if there are different understandings among companies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91"/>
        <w:gridCol w:w="3877"/>
        <w:gridCol w:w="3875"/>
      </w:tblGrid>
      <w:tr w:rsidR="00D307F1" w14:paraId="2C171EE8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647C7AE5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2097" w:type="pct"/>
            <w:shd w:val="clear" w:color="auto" w:fill="E7E6E6" w:themeFill="background2"/>
            <w:vAlign w:val="center"/>
          </w:tcPr>
          <w:p w14:paraId="168397EF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2096" w:type="pct"/>
            <w:shd w:val="clear" w:color="auto" w:fill="E7E6E6" w:themeFill="background2"/>
            <w:vAlign w:val="center"/>
          </w:tcPr>
          <w:p w14:paraId="51685F26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307F1" w14:paraId="7522E040" w14:textId="77777777">
        <w:trPr>
          <w:trHeight w:val="20"/>
        </w:trPr>
        <w:tc>
          <w:tcPr>
            <w:tcW w:w="807" w:type="pct"/>
            <w:vAlign w:val="center"/>
          </w:tcPr>
          <w:p w14:paraId="0E09658E" w14:textId="77777777" w:rsidR="00D307F1" w:rsidRDefault="00E47A52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2097" w:type="pct"/>
          </w:tcPr>
          <w:p w14:paraId="19899FB4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ot necessary for Rel-15 and Rel-16.</w:t>
            </w:r>
          </w:p>
          <w:p w14:paraId="4FC068D3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pen for Rel-17 if </w:t>
            </w: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there are different understandings among companies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096" w:type="pct"/>
            <w:vAlign w:val="center"/>
          </w:tcPr>
          <w:p w14:paraId="2382357B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 there are different understandings,</w:t>
            </w:r>
          </w:p>
          <w:p w14:paraId="554A6675" w14:textId="77777777" w:rsidR="00D307F1" w:rsidRDefault="00E47A52">
            <w:pPr>
              <w:pStyle w:val="af2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For Rel-15 and Rel-16, it may not be possible to have a unified UE behavior due to NBC concern.</w:t>
            </w:r>
          </w:p>
          <w:p w14:paraId="224967E1" w14:textId="77777777" w:rsidR="00D307F1" w:rsidRDefault="00E47A52">
            <w:pPr>
              <w:pStyle w:val="af2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But we prefer have a clear UE behavior for future release.  </w:t>
            </w:r>
          </w:p>
        </w:tc>
      </w:tr>
      <w:tr w:rsidR="00D307F1" w14:paraId="48860E0C" w14:textId="77777777">
        <w:trPr>
          <w:trHeight w:val="20"/>
        </w:trPr>
        <w:tc>
          <w:tcPr>
            <w:tcW w:w="807" w:type="pct"/>
            <w:vAlign w:val="center"/>
          </w:tcPr>
          <w:p w14:paraId="5601FC52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lastRenderedPageBreak/>
              <w:t>Huawei, HiSilicon</w:t>
            </w:r>
          </w:p>
        </w:tc>
        <w:tc>
          <w:tcPr>
            <w:tcW w:w="2097" w:type="pct"/>
          </w:tcPr>
          <w:p w14:paraId="2539C669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OK to clarify.</w:t>
            </w:r>
          </w:p>
        </w:tc>
        <w:tc>
          <w:tcPr>
            <w:tcW w:w="2096" w:type="pct"/>
            <w:vAlign w:val="center"/>
          </w:tcPr>
          <w:p w14:paraId="347D5DD9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If cannot be converged, our understanding is that for R15 the resulted effect would be up to UE implementation - similar issue as to RACH. For R16, a clarification would be preferred.</w:t>
            </w:r>
          </w:p>
        </w:tc>
      </w:tr>
      <w:tr w:rsidR="00D307F1" w14:paraId="60712E12" w14:textId="77777777">
        <w:trPr>
          <w:trHeight w:val="20"/>
        </w:trPr>
        <w:tc>
          <w:tcPr>
            <w:tcW w:w="807" w:type="pct"/>
            <w:vAlign w:val="center"/>
          </w:tcPr>
          <w:p w14:paraId="59D5AF62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2097" w:type="pct"/>
          </w:tcPr>
          <w:p w14:paraId="75B63850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N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</w:t>
            </w:r>
          </w:p>
        </w:tc>
        <w:tc>
          <w:tcPr>
            <w:tcW w:w="2096" w:type="pct"/>
            <w:vAlign w:val="center"/>
          </w:tcPr>
          <w:p w14:paraId="6A9B3C9C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It causes NBC issue.</w:t>
            </w:r>
          </w:p>
        </w:tc>
      </w:tr>
      <w:tr w:rsidR="00D307F1" w14:paraId="5BD86759" w14:textId="77777777">
        <w:trPr>
          <w:trHeight w:val="20"/>
        </w:trPr>
        <w:tc>
          <w:tcPr>
            <w:tcW w:w="807" w:type="pct"/>
            <w:vAlign w:val="center"/>
          </w:tcPr>
          <w:p w14:paraId="71015CFA" w14:textId="77777777" w:rsidR="00D307F1" w:rsidRDefault="00E47A52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OPPO</w:t>
            </w:r>
          </w:p>
        </w:tc>
        <w:tc>
          <w:tcPr>
            <w:tcW w:w="2097" w:type="pct"/>
          </w:tcPr>
          <w:p w14:paraId="5C58C6FF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Not</w:t>
            </w:r>
          </w:p>
        </w:tc>
        <w:tc>
          <w:tcPr>
            <w:tcW w:w="2096" w:type="pct"/>
            <w:vAlign w:val="center"/>
          </w:tcPr>
          <w:p w14:paraId="54D71F4B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It can be up to UE implementation.</w:t>
            </w:r>
          </w:p>
        </w:tc>
      </w:tr>
      <w:tr w:rsidR="00D307F1" w14:paraId="1B299CF9" w14:textId="77777777">
        <w:trPr>
          <w:trHeight w:val="20"/>
        </w:trPr>
        <w:tc>
          <w:tcPr>
            <w:tcW w:w="807" w:type="pct"/>
            <w:vAlign w:val="center"/>
          </w:tcPr>
          <w:p w14:paraId="180198C7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2097" w:type="pct"/>
          </w:tcPr>
          <w:p w14:paraId="104EBCCC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possible,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6" w:type="pct"/>
            <w:vAlign w:val="center"/>
          </w:tcPr>
          <w:p w14:paraId="37ADA1EC" w14:textId="77777777" w:rsidR="00D307F1" w:rsidRDefault="00D307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7F1" w14:paraId="10FEDE7B" w14:textId="77777777" w:rsidTr="00595110">
        <w:trPr>
          <w:trHeight w:val="20"/>
        </w:trPr>
        <w:tc>
          <w:tcPr>
            <w:tcW w:w="807" w:type="pct"/>
            <w:vAlign w:val="center"/>
          </w:tcPr>
          <w:p w14:paraId="2677C5D0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2097" w:type="pct"/>
          </w:tcPr>
          <w:p w14:paraId="5BEC8FBB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Yes at least for the case that the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dynamic transmission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is scheduled with repetition</w:t>
            </w:r>
          </w:p>
        </w:tc>
        <w:tc>
          <w:tcPr>
            <w:tcW w:w="2096" w:type="pct"/>
            <w:vAlign w:val="center"/>
          </w:tcPr>
          <w:p w14:paraId="1D52EA9A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As commented above, at least in case that the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dynamic transmission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is scheduled with repetition, no clarification of intended UE behavior would cause big restrictions on network implementation. </w:t>
            </w:r>
          </w:p>
        </w:tc>
      </w:tr>
      <w:tr w:rsidR="00251D6E" w14:paraId="5E06C5AC" w14:textId="77777777" w:rsidTr="00595110">
        <w:trPr>
          <w:trHeight w:val="20"/>
        </w:trPr>
        <w:tc>
          <w:tcPr>
            <w:tcW w:w="807" w:type="pct"/>
            <w:vAlign w:val="center"/>
          </w:tcPr>
          <w:p w14:paraId="2AA9A7CE" w14:textId="459B2644" w:rsidR="00251D6E" w:rsidRPr="00251D6E" w:rsidRDefault="00251D6E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OCOMO</w:t>
            </w:r>
          </w:p>
        </w:tc>
        <w:tc>
          <w:tcPr>
            <w:tcW w:w="2097" w:type="pct"/>
          </w:tcPr>
          <w:p w14:paraId="49975F1B" w14:textId="30B2FF38" w:rsidR="00251D6E" w:rsidRPr="009D5DFE" w:rsidRDefault="009D5DFE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O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K to clarify for Rel-16</w:t>
            </w:r>
          </w:p>
        </w:tc>
        <w:tc>
          <w:tcPr>
            <w:tcW w:w="2096" w:type="pct"/>
            <w:vAlign w:val="center"/>
          </w:tcPr>
          <w:p w14:paraId="4F287469" w14:textId="77777777" w:rsidR="00251D6E" w:rsidRDefault="00251D6E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6F3ACC" w14:paraId="2530C781" w14:textId="77777777" w:rsidTr="00595110">
        <w:trPr>
          <w:trHeight w:val="20"/>
        </w:trPr>
        <w:tc>
          <w:tcPr>
            <w:tcW w:w="807" w:type="pct"/>
            <w:vAlign w:val="center"/>
          </w:tcPr>
          <w:p w14:paraId="18E7B2DB" w14:textId="4C5F83E9" w:rsidR="006F3ACC" w:rsidRDefault="006F3ACC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Intel</w:t>
            </w:r>
          </w:p>
        </w:tc>
        <w:tc>
          <w:tcPr>
            <w:tcW w:w="2097" w:type="pct"/>
          </w:tcPr>
          <w:p w14:paraId="0BC52F56" w14:textId="73E8484C" w:rsidR="006F3ACC" w:rsidRDefault="006F3ACC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Fine to clarify</w:t>
            </w:r>
            <w:r w:rsidR="00125F35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via a conclusion</w:t>
            </w:r>
          </w:p>
        </w:tc>
        <w:tc>
          <w:tcPr>
            <w:tcW w:w="2096" w:type="pct"/>
            <w:vAlign w:val="center"/>
          </w:tcPr>
          <w:p w14:paraId="26B5BD6D" w14:textId="59399FBF" w:rsidR="006F3ACC" w:rsidRDefault="00E9322B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To note, our understanding is that </w:t>
            </w:r>
            <w:r w:rsidR="00C27CE8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Understanding 1 is aligned with existing specs. </w:t>
            </w:r>
          </w:p>
        </w:tc>
      </w:tr>
      <w:tr w:rsidR="00595110" w14:paraId="4764F77A" w14:textId="77777777" w:rsidTr="00595110">
        <w:trPr>
          <w:trHeight w:val="20"/>
        </w:trPr>
        <w:tc>
          <w:tcPr>
            <w:tcW w:w="807" w:type="pct"/>
            <w:vAlign w:val="center"/>
          </w:tcPr>
          <w:p w14:paraId="37A3D95C" w14:textId="18DD3411" w:rsidR="00595110" w:rsidRDefault="00595110" w:rsidP="00595110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harp</w:t>
            </w:r>
          </w:p>
        </w:tc>
        <w:tc>
          <w:tcPr>
            <w:tcW w:w="2097" w:type="pct"/>
          </w:tcPr>
          <w:p w14:paraId="23D67378" w14:textId="0FEC73F2" w:rsidR="00595110" w:rsidRDefault="00595110" w:rsidP="005951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ot necessary</w:t>
            </w:r>
          </w:p>
        </w:tc>
        <w:tc>
          <w:tcPr>
            <w:tcW w:w="2096" w:type="pct"/>
            <w:vAlign w:val="center"/>
          </w:tcPr>
          <w:p w14:paraId="75187C49" w14:textId="54CDC752" w:rsidR="00595110" w:rsidRDefault="00595110" w:rsidP="00595110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I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f there are different understandings, any alignment becomes NBC.</w:t>
            </w:r>
          </w:p>
        </w:tc>
      </w:tr>
      <w:tr w:rsidR="000A6281" w14:paraId="01F4056F" w14:textId="77777777" w:rsidTr="00595110">
        <w:trPr>
          <w:trHeight w:val="20"/>
        </w:trPr>
        <w:tc>
          <w:tcPr>
            <w:tcW w:w="807" w:type="pct"/>
            <w:vAlign w:val="center"/>
          </w:tcPr>
          <w:p w14:paraId="1DAAD12B" w14:textId="3A5B2E5A" w:rsidR="000A6281" w:rsidRPr="000A6281" w:rsidRDefault="000A6281" w:rsidP="000A62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Samsung</w:t>
            </w:r>
          </w:p>
        </w:tc>
        <w:tc>
          <w:tcPr>
            <w:tcW w:w="2097" w:type="pct"/>
          </w:tcPr>
          <w:p w14:paraId="3D271D1D" w14:textId="50BAEFE7" w:rsidR="000A6281" w:rsidRDefault="000A6281" w:rsidP="000A6281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Not necessary</w:t>
            </w:r>
          </w:p>
        </w:tc>
        <w:tc>
          <w:tcPr>
            <w:tcW w:w="2096" w:type="pct"/>
            <w:vAlign w:val="center"/>
          </w:tcPr>
          <w:p w14:paraId="2094A7BF" w14:textId="12193053" w:rsidR="000A6281" w:rsidRDefault="000A6281" w:rsidP="000A6281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It has NBC issue.</w:t>
            </w:r>
            <w:r w:rsidR="00CC4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C7D04" w14:paraId="2B4A609C" w14:textId="77777777" w:rsidTr="00595110">
        <w:trPr>
          <w:trHeight w:val="20"/>
        </w:trPr>
        <w:tc>
          <w:tcPr>
            <w:tcW w:w="807" w:type="pct"/>
            <w:vAlign w:val="center"/>
          </w:tcPr>
          <w:p w14:paraId="74CD264C" w14:textId="434CDF80" w:rsidR="001C7D04" w:rsidRPr="001C7D04" w:rsidRDefault="001C7D04" w:rsidP="000A6281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preadtrum</w:t>
            </w:r>
          </w:p>
        </w:tc>
        <w:tc>
          <w:tcPr>
            <w:tcW w:w="2097" w:type="pct"/>
          </w:tcPr>
          <w:p w14:paraId="7D4325BF" w14:textId="1F28D409" w:rsidR="001C7D04" w:rsidRPr="001C7D04" w:rsidRDefault="001C7D04" w:rsidP="000A6281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 for Rel-15</w:t>
            </w:r>
          </w:p>
        </w:tc>
        <w:tc>
          <w:tcPr>
            <w:tcW w:w="2096" w:type="pct"/>
            <w:vAlign w:val="center"/>
          </w:tcPr>
          <w:p w14:paraId="140BFF35" w14:textId="77777777" w:rsidR="001C7D04" w:rsidRDefault="001C7D04" w:rsidP="000A62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CA9C191" w14:textId="77777777" w:rsidR="00D307F1" w:rsidRDefault="00D307F1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165A0D0E" w14:textId="77777777" w:rsidR="00A55B23" w:rsidRDefault="00A55B23" w:rsidP="00A55B23">
      <w:pPr>
        <w:pStyle w:val="10"/>
        <w:pBdr>
          <w:top w:val="single" w:sz="12" w:space="1" w:color="auto"/>
        </w:pBdr>
        <w:spacing w:before="360" w:line="360" w:lineRule="auto"/>
        <w:rPr>
          <w:rFonts w:ascii="Arial" w:eastAsiaTheme="minorEastAsia" w:hAnsi="Arial" w:cs="Arial"/>
          <w:color w:val="auto"/>
        </w:rPr>
      </w:pPr>
      <w:r>
        <w:rPr>
          <w:rFonts w:ascii="Arial" w:hAnsi="Arial" w:cs="Arial" w:hint="eastAsia"/>
          <w:color w:val="auto"/>
        </w:rPr>
        <w:t>Initial summary</w:t>
      </w:r>
    </w:p>
    <w:p w14:paraId="17B38F9B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  <w:r>
        <w:rPr>
          <w:rFonts w:ascii="Times New Roman" w:hAnsi="Times New Roman" w:hint="eastAsia"/>
          <w:sz w:val="20"/>
          <w:szCs w:val="20"/>
          <w:lang w:eastAsia="zh-CN"/>
        </w:rPr>
        <w:t>Based on the feedback in section 2, companies</w:t>
      </w:r>
      <w:r>
        <w:rPr>
          <w:rFonts w:ascii="Times New Roman" w:hAnsi="Times New Roman"/>
          <w:sz w:val="20"/>
          <w:szCs w:val="20"/>
          <w:lang w:eastAsia="zh-CN"/>
        </w:rPr>
        <w:t>’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understanding of the current specification is summarized as follows. </w:t>
      </w:r>
    </w:p>
    <w:p w14:paraId="5E98E5A7" w14:textId="77777777" w:rsidR="00A55B23" w:rsidRPr="0013757D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14:paraId="2AAF2849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>For operation on a single carrier in unpaired spectrum,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f</w:t>
      </w:r>
      <w:r>
        <w:rPr>
          <w:rFonts w:ascii="Times New Roman" w:hAnsi="Times New Roman"/>
          <w:sz w:val="20"/>
          <w:szCs w:val="20"/>
        </w:rPr>
        <w:t>or an overlapping case of a DL/UL semi-static transmission and an UL/DL dynamic transmission which collides with semi-static DL/UL symbol(s) or SSB/valid PRACH occasion,</w:t>
      </w:r>
    </w:p>
    <w:p w14:paraId="1CA95296" w14:textId="77777777" w:rsidR="00A55B23" w:rsidRDefault="00A55B23" w:rsidP="00A55B23">
      <w:pPr>
        <w:pStyle w:val="a6"/>
        <w:numPr>
          <w:ilvl w:val="0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/>
          <w:sz w:val="20"/>
          <w:szCs w:val="20"/>
          <w:lang w:val="en-GB" w:eastAsia="zh-CN"/>
        </w:rPr>
        <w:t>Understanding 1: both the dynamic transmission colliding with semi-static DL/UL symbol(s) or SSB/valid PRACH occasion and the semi-static transmission overlapping with the dynamic transmission are not transmitted / received</w:t>
      </w: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>;</w:t>
      </w:r>
    </w:p>
    <w:p w14:paraId="26D204B5" w14:textId="77777777" w:rsidR="00A55B23" w:rsidRDefault="00A55B23" w:rsidP="00A55B23">
      <w:pPr>
        <w:pStyle w:val="a6"/>
        <w:numPr>
          <w:ilvl w:val="1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>Supported by</w:t>
      </w:r>
      <w:r>
        <w:rPr>
          <w:rFonts w:ascii="Times New Roman" w:eastAsia="宋体" w:hAnsi="Times New Roman"/>
          <w:sz w:val="20"/>
          <w:szCs w:val="20"/>
          <w:lang w:val="en-GB" w:eastAsia="zh-CN"/>
        </w:rPr>
        <w:t>:</w:t>
      </w: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 xml:space="preserve"> </w:t>
      </w:r>
      <w:r w:rsidRPr="0013757D">
        <w:rPr>
          <w:rFonts w:ascii="Times New Roman" w:eastAsia="宋体" w:hAnsi="Times New Roman" w:hint="eastAsia"/>
          <w:color w:val="00B0F0"/>
          <w:sz w:val="20"/>
          <w:szCs w:val="20"/>
          <w:lang w:val="en-GB" w:eastAsia="zh-CN"/>
        </w:rPr>
        <w:t>vivo, DOCOMO, Intel, Sharp</w:t>
      </w:r>
    </w:p>
    <w:p w14:paraId="620B60C7" w14:textId="77777777" w:rsidR="00A55B23" w:rsidRDefault="00A55B23" w:rsidP="00A55B23">
      <w:pPr>
        <w:pStyle w:val="a6"/>
        <w:numPr>
          <w:ilvl w:val="0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/>
          <w:sz w:val="20"/>
          <w:szCs w:val="20"/>
          <w:lang w:val="en-GB" w:eastAsia="zh-CN"/>
        </w:rPr>
        <w:t>Understanding 2: semi-static transmission could be transmitted / received while dynamic transmission colliding with semi-static DL/UL symbol(s) or SSB/valid PRACH occasion is dropped.</w:t>
      </w:r>
    </w:p>
    <w:p w14:paraId="698CA801" w14:textId="77777777" w:rsidR="00A55B23" w:rsidRDefault="00A55B23" w:rsidP="00A55B23">
      <w:pPr>
        <w:pStyle w:val="a6"/>
        <w:numPr>
          <w:ilvl w:val="1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 xml:space="preserve">Supported by: </w:t>
      </w:r>
      <w:r w:rsidRPr="0013757D">
        <w:rPr>
          <w:rFonts w:ascii="Times New Roman" w:eastAsia="宋体" w:hAnsi="Times New Roman" w:hint="eastAsia"/>
          <w:color w:val="00B0F0"/>
          <w:sz w:val="20"/>
          <w:szCs w:val="20"/>
          <w:lang w:val="en-GB" w:eastAsia="zh-CN"/>
        </w:rPr>
        <w:t>Huawei/HiSilicon, ZTE</w:t>
      </w:r>
    </w:p>
    <w:p w14:paraId="541615EA" w14:textId="77777777" w:rsidR="00A55B23" w:rsidRDefault="00A55B23" w:rsidP="00A55B23">
      <w:pPr>
        <w:pStyle w:val="a6"/>
        <w:numPr>
          <w:ilvl w:val="0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>Not clear from the current specification</w:t>
      </w:r>
    </w:p>
    <w:p w14:paraId="6E538CE5" w14:textId="7F500529" w:rsidR="00A55B23" w:rsidRDefault="00A55B23" w:rsidP="00A55B23">
      <w:pPr>
        <w:pStyle w:val="a6"/>
        <w:numPr>
          <w:ilvl w:val="1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 xml:space="preserve">Supported by: </w:t>
      </w:r>
      <w:r w:rsidRPr="0013757D">
        <w:rPr>
          <w:rFonts w:ascii="Times New Roman" w:eastAsia="宋体" w:hAnsi="Times New Roman" w:hint="eastAsia"/>
          <w:color w:val="00B0F0"/>
          <w:sz w:val="20"/>
          <w:szCs w:val="20"/>
          <w:lang w:val="en-GB" w:eastAsia="zh-CN"/>
        </w:rPr>
        <w:t>Qualcomm, OPPO, Samsung</w:t>
      </w:r>
      <w:r>
        <w:rPr>
          <w:rFonts w:ascii="Times New Roman" w:eastAsia="宋体" w:hAnsi="Times New Roman" w:hint="eastAsia"/>
          <w:color w:val="00B0F0"/>
          <w:sz w:val="20"/>
          <w:szCs w:val="20"/>
          <w:lang w:val="en-GB" w:eastAsia="zh-CN"/>
        </w:rPr>
        <w:t>, Spreadtrum</w:t>
      </w:r>
    </w:p>
    <w:p w14:paraId="165113B2" w14:textId="77777777" w:rsidR="00A55B23" w:rsidRPr="0013757D" w:rsidRDefault="00A55B23" w:rsidP="00A55B23">
      <w:pPr>
        <w:rPr>
          <w:rFonts w:eastAsiaTheme="minorEastAsia"/>
          <w:lang w:val="en-GB" w:eastAsia="zh-CN"/>
        </w:rPr>
      </w:pPr>
    </w:p>
    <w:p w14:paraId="3F6D59B9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 w:hint="eastAsia"/>
          <w:sz w:val="20"/>
          <w:szCs w:val="20"/>
          <w:lang w:eastAsia="zh-CN"/>
        </w:rPr>
        <w:t xml:space="preserve">It is clear that companies have different understandings on the current specification. </w:t>
      </w:r>
      <w:r w:rsidRPr="0013757D">
        <w:rPr>
          <w:rFonts w:ascii="Times New Roman" w:hAnsi="Times New Roman" w:hint="eastAsia"/>
          <w:sz w:val="20"/>
          <w:szCs w:val="20"/>
          <w:lang w:eastAsia="zh-CN"/>
        </w:rPr>
        <w:t xml:space="preserve">On whether to </w:t>
      </w:r>
      <w:r>
        <w:rPr>
          <w:rFonts w:ascii="Times New Roman" w:hAnsi="Times New Roman" w:hint="eastAsia"/>
          <w:sz w:val="20"/>
          <w:szCs w:val="20"/>
          <w:lang w:eastAsia="zh-CN"/>
        </w:rPr>
        <w:t>clarify the intended UE behavior, companies</w:t>
      </w:r>
      <w:r>
        <w:rPr>
          <w:rFonts w:ascii="Times New Roman" w:hAnsi="Times New Roman"/>
          <w:sz w:val="20"/>
          <w:szCs w:val="20"/>
          <w:lang w:eastAsia="zh-CN"/>
        </w:rPr>
        <w:t>’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views are as follows:</w:t>
      </w:r>
    </w:p>
    <w:p w14:paraId="6117E1AD" w14:textId="77777777" w:rsidR="00A55B23" w:rsidRDefault="00A55B23" w:rsidP="00A55B23">
      <w:pPr>
        <w:pStyle w:val="a6"/>
        <w:numPr>
          <w:ilvl w:val="0"/>
          <w:numId w:val="10"/>
        </w:numPr>
        <w:spacing w:line="240" w:lineRule="auto"/>
        <w:rPr>
          <w:rFonts w:ascii="Times New Roman" w:eastAsiaTheme="minorEastAsia" w:hAnsi="Times New Roman"/>
          <w:sz w:val="20"/>
          <w:szCs w:val="20"/>
          <w:lang w:val="en-US"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Yes: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vivo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(for Rel-17),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Huawei/HiSilicon, Ericsson, ZTE, DOCOMO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(for Rel-16),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Intel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(Understanding 1), </w:t>
      </w:r>
    </w:p>
    <w:p w14:paraId="6C399106" w14:textId="109EECD3" w:rsidR="00A55B23" w:rsidRPr="0013757D" w:rsidRDefault="00A55B23" w:rsidP="00A55B23">
      <w:pPr>
        <w:pStyle w:val="a6"/>
        <w:numPr>
          <w:ilvl w:val="0"/>
          <w:numId w:val="10"/>
        </w:numPr>
        <w:spacing w:line="240" w:lineRule="auto"/>
        <w:rPr>
          <w:rFonts w:ascii="Times New Roman" w:eastAsiaTheme="minorEastAsia" w:hAnsi="Times New Roman"/>
          <w:sz w:val="20"/>
          <w:szCs w:val="20"/>
          <w:lang w:val="en-US"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No: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vivo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(for Rel-15&amp;Rel-16),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Qualcomm, OPPO, Sharp, Samsung</w:t>
      </w:r>
      <w:r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 xml:space="preserve">, Spreadtrum 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>(for Rel-15)</w:t>
      </w:r>
    </w:p>
    <w:p w14:paraId="777D7196" w14:textId="77777777" w:rsidR="00A55B23" w:rsidRDefault="00A55B23" w:rsidP="00A55B23">
      <w:pPr>
        <w:rPr>
          <w:rFonts w:eastAsiaTheme="minorEastAsia"/>
          <w:lang w:eastAsia="zh-CN"/>
        </w:rPr>
      </w:pPr>
    </w:p>
    <w:p w14:paraId="227B829A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1835C2">
        <w:rPr>
          <w:rFonts w:ascii="Times New Roman" w:hAnsi="Times New Roman" w:hint="eastAsia"/>
          <w:sz w:val="20"/>
          <w:szCs w:val="20"/>
          <w:lang w:eastAsia="zh-CN"/>
        </w:rPr>
        <w:lastRenderedPageBreak/>
        <w:t xml:space="preserve">For Rel-15, </w:t>
      </w:r>
      <w:r>
        <w:rPr>
          <w:rFonts w:ascii="Times New Roman" w:hAnsi="Times New Roman" w:hint="eastAsia"/>
          <w:sz w:val="20"/>
          <w:szCs w:val="20"/>
          <w:lang w:eastAsia="zh-CN"/>
        </w:rPr>
        <w:t>it seems that the only possible outcome is that the concerned case is up to UE implementation. The remaining question is that whether we can reach a conclusion on the intended UE behavior for Rel-16. To that end, companies</w:t>
      </w:r>
      <w:r>
        <w:rPr>
          <w:rFonts w:ascii="Times New Roman" w:hAnsi="Times New Roman"/>
          <w:sz w:val="20"/>
          <w:szCs w:val="20"/>
          <w:lang w:eastAsia="zh-CN"/>
        </w:rPr>
        <w:t>’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views are invited for the following question.</w:t>
      </w:r>
    </w:p>
    <w:p w14:paraId="774E1234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  <w:r w:rsidRPr="001835C2"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  <w:t>Q3: Do you object to clarify the UE behavior for Rel-16 according to understanding 1 or 2 in section 2?</w:t>
      </w:r>
    </w:p>
    <w:p w14:paraId="091D40F1" w14:textId="4BB5F1A0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Please add you company name if you object to the understanding(s). It would also be </w:t>
      </w:r>
      <w:r>
        <w:rPr>
          <w:rFonts w:ascii="Times New Roman" w:eastAsiaTheme="minorEastAsia" w:hAnsi="Times New Roman"/>
          <w:sz w:val="20"/>
          <w:szCs w:val="20"/>
          <w:lang w:eastAsia="zh-CN"/>
        </w:rPr>
        <w:t>appreciate</w:t>
      </w:r>
      <w:r w:rsidR="00CB5E8F">
        <w:rPr>
          <w:rFonts w:ascii="Times New Roman" w:eastAsiaTheme="minorEastAsia" w:hAnsi="Times New Roman" w:hint="eastAsia"/>
          <w:sz w:val="20"/>
          <w:szCs w:val="20"/>
          <w:lang w:eastAsia="zh-CN"/>
        </w:rPr>
        <w:t>d</w:t>
      </w: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if you can provide your reason in the table.</w:t>
      </w:r>
    </w:p>
    <w:p w14:paraId="42510E2E" w14:textId="77777777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color w:val="00B0F0"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  <w:t xml:space="preserve">Object to understanding 1: </w:t>
      </w:r>
    </w:p>
    <w:p w14:paraId="3A99D021" w14:textId="2A5F6962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color w:val="00B0F0"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  <w:t xml:space="preserve">Object to understanding 2: </w:t>
      </w:r>
      <w:r w:rsidR="0052659A">
        <w:rPr>
          <w:rFonts w:ascii="Times New Roman" w:eastAsiaTheme="minorEastAsia" w:hAnsi="Times New Roman"/>
          <w:b/>
          <w:sz w:val="20"/>
          <w:szCs w:val="20"/>
          <w:lang w:eastAsia="zh-CN"/>
        </w:rPr>
        <w:t>vivo</w:t>
      </w:r>
      <w:r w:rsidR="00181053">
        <w:rPr>
          <w:rFonts w:ascii="Times New Roman" w:eastAsiaTheme="minorEastAsia" w:hAnsi="Times New Roman"/>
          <w:b/>
          <w:sz w:val="20"/>
          <w:szCs w:val="20"/>
          <w:lang w:eastAsia="zh-CN"/>
        </w:rPr>
        <w:t>, Intel</w:t>
      </w:r>
      <w:r w:rsidR="00FE42AC">
        <w:rPr>
          <w:rFonts w:ascii="Times New Roman" w:eastAsiaTheme="minorEastAsia" w:hAnsi="Times New Roman"/>
          <w:b/>
          <w:sz w:val="20"/>
          <w:szCs w:val="20"/>
          <w:lang w:eastAsia="zh-CN"/>
        </w:rPr>
        <w:t>, DOCOMO</w:t>
      </w:r>
    </w:p>
    <w:p w14:paraId="39D25E87" w14:textId="77777777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069"/>
        <w:gridCol w:w="7174"/>
      </w:tblGrid>
      <w:tr w:rsidR="00A55B23" w14:paraId="657DEE0A" w14:textId="77777777" w:rsidTr="00D65F10">
        <w:trPr>
          <w:trHeight w:val="20"/>
        </w:trPr>
        <w:tc>
          <w:tcPr>
            <w:tcW w:w="1119" w:type="pct"/>
            <w:shd w:val="clear" w:color="auto" w:fill="E7E6E6" w:themeFill="background2"/>
            <w:vAlign w:val="center"/>
          </w:tcPr>
          <w:p w14:paraId="56812108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3881" w:type="pct"/>
            <w:shd w:val="clear" w:color="auto" w:fill="E7E6E6" w:themeFill="background2"/>
            <w:vAlign w:val="center"/>
          </w:tcPr>
          <w:p w14:paraId="32DD0E64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A55B23" w14:paraId="30094583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2B21DC10" w14:textId="376073E6" w:rsidR="00A55B23" w:rsidRPr="00823AE5" w:rsidRDefault="00823AE5" w:rsidP="00D65F1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 w:rsidR="0052659A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3881" w:type="pct"/>
            <w:vAlign w:val="center"/>
          </w:tcPr>
          <w:p w14:paraId="4D0410E7" w14:textId="2571E511" w:rsidR="00A55B23" w:rsidRDefault="0052659A" w:rsidP="0052659A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s other companies commented that the collision handling for the two cases are defined independently in the spec. Whether the semi-static transmission like SPS or CG can be performed or cancelled depends on whether it receives the L1 indication, it does not </w:t>
            </w:r>
            <w:r w:rsidR="009968C9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require UE to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check whether the dynamic</w:t>
            </w:r>
            <w:r w:rsidR="009968C9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ally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scheduled PUSCH is actually happens or not. Understanding 2 adds additional complexity at the UE side.  </w:t>
            </w:r>
          </w:p>
        </w:tc>
      </w:tr>
      <w:tr w:rsidR="00A55B23" w14:paraId="605FCC61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6EBC7307" w14:textId="66BFB2B6" w:rsidR="00A55B23" w:rsidRDefault="008E2BC2" w:rsidP="00D65F1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OPPO</w:t>
            </w:r>
          </w:p>
        </w:tc>
        <w:tc>
          <w:tcPr>
            <w:tcW w:w="3881" w:type="pct"/>
            <w:vAlign w:val="center"/>
          </w:tcPr>
          <w:p w14:paraId="4E95B579" w14:textId="4727E912" w:rsidR="00A55B23" w:rsidRDefault="008E2BC2" w:rsidP="008E2BC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We </w:t>
            </w: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do not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think the conclusion is needed for Rel-16, which may unnecessarily introduce new UE behavior </w:t>
            </w: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different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from Rel-15. The same UE implementation as Rel-15 can be applied. </w:t>
            </w:r>
          </w:p>
        </w:tc>
      </w:tr>
      <w:tr w:rsidR="00511C42" w14:paraId="5DB075C2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63094E1" w14:textId="72C828FE" w:rsidR="00511C42" w:rsidRDefault="00511C42" w:rsidP="00511C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3881" w:type="pct"/>
            <w:vAlign w:val="center"/>
          </w:tcPr>
          <w:p w14:paraId="03D97E41" w14:textId="77777777" w:rsidR="00511C42" w:rsidRDefault="00511C42" w:rsidP="00511C4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  <w:p w14:paraId="49CD3F55" w14:textId="77777777" w:rsidR="00511C42" w:rsidRDefault="00511C42" w:rsidP="00511C4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W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e do not think a clarification is necessary even for Rel-16. </w:t>
            </w:r>
          </w:p>
          <w:p w14:paraId="620370CD" w14:textId="77777777" w:rsidR="00511C42" w:rsidRDefault="00511C42" w:rsidP="00511C4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  <w:p w14:paraId="390B48E8" w14:textId="77777777" w:rsidR="00511C42" w:rsidRDefault="00511C42" w:rsidP="00511C4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A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UE may or may not transmit/receive semi-static transmission overlapped with a dropped dynamic reception/transmission. Either clarification (shall transmit/receive it, or shall drop it) causes behavior change for some UEs. Even with either clarification, the UE may or may not transmit/receive semi-static transmission overlapped with a dropped dynamic reception/transmission – it depends on whether the UE can correctly detect the scheduling DCI. Overall, there is no benefit of clarifying this.</w:t>
            </w:r>
          </w:p>
          <w:p w14:paraId="20CC6E4E" w14:textId="77777777" w:rsidR="00511C42" w:rsidRDefault="00511C42" w:rsidP="00511C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B23" w14:paraId="056A584C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5A281FF" w14:textId="74B9B657" w:rsidR="00A55B23" w:rsidRDefault="00610F31" w:rsidP="00D65F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amsung</w:t>
            </w:r>
          </w:p>
        </w:tc>
        <w:tc>
          <w:tcPr>
            <w:tcW w:w="3881" w:type="pct"/>
            <w:vAlign w:val="center"/>
          </w:tcPr>
          <w:p w14:paraId="5661EA67" w14:textId="2EF8FFE9" w:rsidR="00A55B23" w:rsidRDefault="00A91A62" w:rsidP="00A91A6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For Rel-16, we are okay with either way if RAN1 can make common understanding.</w:t>
            </w:r>
          </w:p>
        </w:tc>
      </w:tr>
      <w:tr w:rsidR="00181053" w14:paraId="5950C72B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BCA1E25" w14:textId="30F71862" w:rsidR="00181053" w:rsidRDefault="00181053" w:rsidP="001810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Intel</w:t>
            </w:r>
          </w:p>
        </w:tc>
        <w:tc>
          <w:tcPr>
            <w:tcW w:w="3881" w:type="pct"/>
            <w:vAlign w:val="center"/>
          </w:tcPr>
          <w:p w14:paraId="126F4201" w14:textId="77777777" w:rsidR="00181053" w:rsidRDefault="00181053" w:rsidP="00181053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We would be fine to clarify the UE behavior for Rel-16 with a conclusion on Understanding 1. We share the views expressed by vivo on why Understanding 1 should be pursued.</w:t>
            </w:r>
          </w:p>
          <w:p w14:paraId="5143ECC0" w14:textId="77777777" w:rsidR="00181053" w:rsidRDefault="00181053" w:rsidP="00181053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73F356AB" w14:textId="35DE75C7" w:rsidR="00181053" w:rsidRDefault="00181053" w:rsidP="001810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To Qualcomm, at least for Understanding 1, if the UE missed the scheduling DCI, then there is no issue to begin with. On the other hand, a common understanding based on Understanding 1 would be beneficial for the scenario at hand (when the UE detects the scheduling DCI). </w:t>
            </w:r>
          </w:p>
        </w:tc>
      </w:tr>
      <w:tr w:rsidR="00181053" w14:paraId="69BE9C90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0AF5AFCA" w14:textId="7C4E5AF8" w:rsidR="00181053" w:rsidRPr="00FE42AC" w:rsidRDefault="00FE42AC" w:rsidP="00181053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OCOMO</w:t>
            </w:r>
          </w:p>
        </w:tc>
        <w:tc>
          <w:tcPr>
            <w:tcW w:w="3881" w:type="pct"/>
            <w:vAlign w:val="center"/>
          </w:tcPr>
          <w:p w14:paraId="0E6592D5" w14:textId="26C7E0C2" w:rsidR="00181053" w:rsidRPr="00FE42AC" w:rsidRDefault="00FE42AC" w:rsidP="00181053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W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e support to clarify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UE behavior for Rel-16 with a conclusion on Understanding 1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and share the view with vivo/Intel.</w:t>
            </w:r>
          </w:p>
        </w:tc>
      </w:tr>
      <w:tr w:rsidR="00181053" w14:paraId="2E6F3EA0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0894070" w14:textId="54F131AA" w:rsidR="00181053" w:rsidRDefault="00201DAC" w:rsidP="00181053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Huawei, HiSilicon</w:t>
            </w:r>
          </w:p>
        </w:tc>
        <w:tc>
          <w:tcPr>
            <w:tcW w:w="3881" w:type="pct"/>
            <w:vAlign w:val="center"/>
          </w:tcPr>
          <w:p w14:paraId="3C79F9C1" w14:textId="77930AE5" w:rsidR="00201DAC" w:rsidRPr="00085083" w:rsidRDefault="00201DAC" w:rsidP="00181053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We support a clarification on understanding#2 but could live with a conclusion that it is up to UE.</w:t>
            </w:r>
            <w:bookmarkStart w:id="4" w:name="_GoBack"/>
            <w:bookmarkEnd w:id="4"/>
          </w:p>
        </w:tc>
      </w:tr>
      <w:tr w:rsidR="00181053" w14:paraId="4D1F5C4D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7CC24DF9" w14:textId="77777777" w:rsidR="00181053" w:rsidRDefault="00181053" w:rsidP="00181053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81" w:type="pct"/>
            <w:vAlign w:val="center"/>
          </w:tcPr>
          <w:p w14:paraId="45363F18" w14:textId="77777777" w:rsidR="00181053" w:rsidRDefault="00181053" w:rsidP="00181053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</w:tr>
      <w:tr w:rsidR="00181053" w14:paraId="3452D1A5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4724D4FB" w14:textId="77777777" w:rsidR="00181053" w:rsidRDefault="00181053" w:rsidP="00181053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81" w:type="pct"/>
            <w:vAlign w:val="center"/>
          </w:tcPr>
          <w:p w14:paraId="6B0B874F" w14:textId="77777777" w:rsidR="00181053" w:rsidRDefault="00181053" w:rsidP="00181053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</w:tr>
      <w:tr w:rsidR="00181053" w14:paraId="55FD211C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684168A7" w14:textId="77777777" w:rsidR="00181053" w:rsidRDefault="00181053" w:rsidP="001810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14:paraId="3058B3F9" w14:textId="77777777" w:rsidR="00181053" w:rsidRDefault="00181053" w:rsidP="00181053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</w:tr>
    </w:tbl>
    <w:p w14:paraId="6AEC1E37" w14:textId="77777777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14:paraId="0B5D5387" w14:textId="77777777" w:rsidR="00A55B23" w:rsidRDefault="00A55B23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3773A9F3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Conclusion</w:t>
      </w:r>
    </w:p>
    <w:p w14:paraId="6B4B93AF" w14:textId="77777777" w:rsidR="00D307F1" w:rsidRDefault="00E47A52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 w:rsidR="00D307F1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79639" w14:textId="77777777" w:rsidR="00D35C24" w:rsidRDefault="00D35C24">
      <w:pPr>
        <w:spacing w:after="0" w:line="240" w:lineRule="auto"/>
      </w:pPr>
      <w:r>
        <w:separator/>
      </w:r>
    </w:p>
  </w:endnote>
  <w:endnote w:type="continuationSeparator" w:id="0">
    <w:p w14:paraId="74DB747F" w14:textId="77777777" w:rsidR="00D35C24" w:rsidRDefault="00D3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D172D" w14:textId="23ABB982" w:rsidR="00D307F1" w:rsidRDefault="00E47A52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201DAC">
      <w:rPr>
        <w:b/>
        <w:noProof/>
        <w:sz w:val="20"/>
        <w:szCs w:val="20"/>
      </w:rPr>
      <w:t>5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201DAC" w:rsidRPr="00201DAC">
      <w:rPr>
        <w:b/>
        <w:noProof/>
        <w:color w:val="595959"/>
        <w:sz w:val="20"/>
        <w:szCs w:val="20"/>
      </w:rPr>
      <w:t>5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A130B" w14:textId="77777777" w:rsidR="00D35C24" w:rsidRDefault="00D35C24">
      <w:pPr>
        <w:spacing w:after="0" w:line="240" w:lineRule="auto"/>
      </w:pPr>
      <w:r>
        <w:separator/>
      </w:r>
    </w:p>
  </w:footnote>
  <w:footnote w:type="continuationSeparator" w:id="0">
    <w:p w14:paraId="65E754D9" w14:textId="77777777" w:rsidR="00D35C24" w:rsidRDefault="00D35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493F68"/>
    <w:multiLevelType w:val="multilevel"/>
    <w:tmpl w:val="45493F68"/>
    <w:lvl w:ilvl="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5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932BE"/>
    <w:multiLevelType w:val="multilevel"/>
    <w:tmpl w:val="642932B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B403A"/>
    <w:multiLevelType w:val="multilevel"/>
    <w:tmpl w:val="73FB403A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5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32A45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57B5A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083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281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22E"/>
    <w:rsid w:val="000F24B9"/>
    <w:rsid w:val="000F304E"/>
    <w:rsid w:val="000F3A7A"/>
    <w:rsid w:val="000F4EE1"/>
    <w:rsid w:val="000F541A"/>
    <w:rsid w:val="000F605A"/>
    <w:rsid w:val="000F640A"/>
    <w:rsid w:val="000F74E7"/>
    <w:rsid w:val="000F760C"/>
    <w:rsid w:val="0010237D"/>
    <w:rsid w:val="00103673"/>
    <w:rsid w:val="00104358"/>
    <w:rsid w:val="00105A84"/>
    <w:rsid w:val="00105CCF"/>
    <w:rsid w:val="001104B6"/>
    <w:rsid w:val="00112461"/>
    <w:rsid w:val="00112D3D"/>
    <w:rsid w:val="00116709"/>
    <w:rsid w:val="00117B61"/>
    <w:rsid w:val="001221B7"/>
    <w:rsid w:val="001227D4"/>
    <w:rsid w:val="00122C9F"/>
    <w:rsid w:val="00123E92"/>
    <w:rsid w:val="00124C78"/>
    <w:rsid w:val="00125F35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874"/>
    <w:rsid w:val="00147D83"/>
    <w:rsid w:val="001503E9"/>
    <w:rsid w:val="001506CA"/>
    <w:rsid w:val="001507D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53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01D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C7D04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1DAC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06E3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1D6E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11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2F74BD"/>
    <w:rsid w:val="00300EE3"/>
    <w:rsid w:val="00303859"/>
    <w:rsid w:val="003039C1"/>
    <w:rsid w:val="00303D6B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079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4DF5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7AA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4C4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09A"/>
    <w:rsid w:val="00492406"/>
    <w:rsid w:val="004925B8"/>
    <w:rsid w:val="004931B2"/>
    <w:rsid w:val="00493F8C"/>
    <w:rsid w:val="0049515F"/>
    <w:rsid w:val="004952ED"/>
    <w:rsid w:val="004957F0"/>
    <w:rsid w:val="00495ED1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1C42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659A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110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149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6AF7"/>
    <w:rsid w:val="005F74C1"/>
    <w:rsid w:val="005F7ACB"/>
    <w:rsid w:val="006011E3"/>
    <w:rsid w:val="0060214E"/>
    <w:rsid w:val="00602478"/>
    <w:rsid w:val="006034DB"/>
    <w:rsid w:val="00604358"/>
    <w:rsid w:val="00606BFC"/>
    <w:rsid w:val="00607185"/>
    <w:rsid w:val="006077F5"/>
    <w:rsid w:val="00607EAF"/>
    <w:rsid w:val="00610716"/>
    <w:rsid w:val="00610F31"/>
    <w:rsid w:val="00611762"/>
    <w:rsid w:val="00612237"/>
    <w:rsid w:val="0061326E"/>
    <w:rsid w:val="00614264"/>
    <w:rsid w:val="00614D09"/>
    <w:rsid w:val="0061559F"/>
    <w:rsid w:val="00615978"/>
    <w:rsid w:val="00616C70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4FD5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571"/>
    <w:rsid w:val="006978D3"/>
    <w:rsid w:val="006A0AE3"/>
    <w:rsid w:val="006A101C"/>
    <w:rsid w:val="006A30AB"/>
    <w:rsid w:val="006A3B24"/>
    <w:rsid w:val="006A5780"/>
    <w:rsid w:val="006A7084"/>
    <w:rsid w:val="006A7732"/>
    <w:rsid w:val="006A7FB8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3ACC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077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8FB"/>
    <w:rsid w:val="00782DD2"/>
    <w:rsid w:val="00785402"/>
    <w:rsid w:val="00787023"/>
    <w:rsid w:val="0078755C"/>
    <w:rsid w:val="007928DD"/>
    <w:rsid w:val="00794DC0"/>
    <w:rsid w:val="00795893"/>
    <w:rsid w:val="007958BD"/>
    <w:rsid w:val="00795BE3"/>
    <w:rsid w:val="00796A57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312D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3AE5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46BAE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3DF1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37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0937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2BC2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8C9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D1076"/>
    <w:rsid w:val="009D2B01"/>
    <w:rsid w:val="009D2BE0"/>
    <w:rsid w:val="009D3947"/>
    <w:rsid w:val="009D5DFE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B23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A62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1F55"/>
    <w:rsid w:val="00AC4C54"/>
    <w:rsid w:val="00AC5170"/>
    <w:rsid w:val="00AC5BD4"/>
    <w:rsid w:val="00AC6294"/>
    <w:rsid w:val="00AC7F09"/>
    <w:rsid w:val="00AD3881"/>
    <w:rsid w:val="00AD3951"/>
    <w:rsid w:val="00AD41E7"/>
    <w:rsid w:val="00AD551D"/>
    <w:rsid w:val="00AD5AAC"/>
    <w:rsid w:val="00AD6013"/>
    <w:rsid w:val="00AD7E2C"/>
    <w:rsid w:val="00AE02CA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1BF9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228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08F3"/>
    <w:rsid w:val="00C22596"/>
    <w:rsid w:val="00C22C4E"/>
    <w:rsid w:val="00C23F5B"/>
    <w:rsid w:val="00C24268"/>
    <w:rsid w:val="00C2437B"/>
    <w:rsid w:val="00C26C04"/>
    <w:rsid w:val="00C27468"/>
    <w:rsid w:val="00C27CE8"/>
    <w:rsid w:val="00C30232"/>
    <w:rsid w:val="00C316E0"/>
    <w:rsid w:val="00C318B0"/>
    <w:rsid w:val="00C318E4"/>
    <w:rsid w:val="00C3304E"/>
    <w:rsid w:val="00C340F2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131"/>
    <w:rsid w:val="00C64334"/>
    <w:rsid w:val="00C65EA4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012"/>
    <w:rsid w:val="00CA6B67"/>
    <w:rsid w:val="00CA75FA"/>
    <w:rsid w:val="00CB1888"/>
    <w:rsid w:val="00CB18D1"/>
    <w:rsid w:val="00CB4873"/>
    <w:rsid w:val="00CB5E8F"/>
    <w:rsid w:val="00CC1B7B"/>
    <w:rsid w:val="00CC1D89"/>
    <w:rsid w:val="00CC23A5"/>
    <w:rsid w:val="00CC3E04"/>
    <w:rsid w:val="00CC3E70"/>
    <w:rsid w:val="00CC40EF"/>
    <w:rsid w:val="00CC4A6A"/>
    <w:rsid w:val="00CC4BE2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6E27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8A8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07F1"/>
    <w:rsid w:val="00D318B0"/>
    <w:rsid w:val="00D324B2"/>
    <w:rsid w:val="00D325A7"/>
    <w:rsid w:val="00D32970"/>
    <w:rsid w:val="00D32997"/>
    <w:rsid w:val="00D330D0"/>
    <w:rsid w:val="00D336D1"/>
    <w:rsid w:val="00D34779"/>
    <w:rsid w:val="00D35C24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24AB"/>
    <w:rsid w:val="00D630B6"/>
    <w:rsid w:val="00D64941"/>
    <w:rsid w:val="00D65214"/>
    <w:rsid w:val="00D6734D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3CB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E7A77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4E3E"/>
    <w:rsid w:val="00E464B9"/>
    <w:rsid w:val="00E476F8"/>
    <w:rsid w:val="00E47A52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87CE8"/>
    <w:rsid w:val="00E90630"/>
    <w:rsid w:val="00E90811"/>
    <w:rsid w:val="00E9200A"/>
    <w:rsid w:val="00E9285D"/>
    <w:rsid w:val="00E92E5D"/>
    <w:rsid w:val="00E9322B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B781B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3BD7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4E53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2D56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2AC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06BC3585"/>
    <w:rsid w:val="0B5E2B6D"/>
    <w:rsid w:val="10FD43A2"/>
    <w:rsid w:val="234A31DA"/>
    <w:rsid w:val="35B44E57"/>
    <w:rsid w:val="47924C2C"/>
    <w:rsid w:val="47D711B4"/>
    <w:rsid w:val="48975981"/>
    <w:rsid w:val="5E343B4E"/>
    <w:rsid w:val="62417EDA"/>
    <w:rsid w:val="6BA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94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ind w:left="432" w:right="471"/>
      <w:jc w:val="center"/>
    </w:pPr>
    <w:rPr>
      <w:rFonts w:eastAsia="PMingLiU"/>
      <w:b/>
    </w:rPr>
  </w:style>
  <w:style w:type="paragraph" w:styleId="a4">
    <w:name w:val="Document Map"/>
    <w:basedOn w:val="a"/>
    <w:link w:val="Char0"/>
    <w:uiPriority w:val="99"/>
    <w:semiHidden/>
    <w:unhideWhenUsed/>
    <w:qFormat/>
    <w:rPr>
      <w:rFonts w:ascii="Gulim" w:eastAsia="Gulim"/>
      <w:sz w:val="18"/>
      <w:szCs w:val="18"/>
      <w:lang w:val="zh-CN" w:eastAsia="zh-CN"/>
    </w:rPr>
  </w:style>
  <w:style w:type="paragraph" w:styleId="a5">
    <w:name w:val="annotation text"/>
    <w:basedOn w:val="a"/>
    <w:link w:val="Char1"/>
    <w:qFormat/>
    <w:rPr>
      <w:rFonts w:eastAsia="PMingLiU"/>
      <w:lang w:val="zh-CN"/>
    </w:rPr>
  </w:style>
  <w:style w:type="paragraph" w:styleId="a6">
    <w:name w:val="Body Text"/>
    <w:basedOn w:val="a"/>
    <w:link w:val="Char2"/>
    <w:qFormat/>
    <w:pPr>
      <w:spacing w:after="120"/>
      <w:jc w:val="both"/>
    </w:pPr>
    <w:rPr>
      <w:rFonts w:eastAsia="PMingLiU"/>
      <w:lang w:val="zh-CN"/>
    </w:rPr>
  </w:style>
  <w:style w:type="paragraph" w:styleId="20">
    <w:name w:val="List 2"/>
    <w:basedOn w:val="a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a7">
    <w:name w:val="Balloon Text"/>
    <w:basedOn w:val="a"/>
    <w:link w:val="Char3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header"/>
    <w:basedOn w:val="a"/>
    <w:link w:val="Char5"/>
    <w:unhideWhenUsed/>
    <w:qFormat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annotation subject"/>
    <w:basedOn w:val="a5"/>
    <w:next w:val="a5"/>
    <w:link w:val="Char7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FollowedHyperlink"/>
    <w:uiPriority w:val="99"/>
    <w:semiHidden/>
    <w:unhideWhenUsed/>
    <w:rPr>
      <w:color w:val="800080"/>
      <w:u w:val="single"/>
    </w:rPr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character" w:styleId="af1">
    <w:name w:val="annotation reference"/>
    <w:unhideWhenUsed/>
    <w:qFormat/>
    <w:rPr>
      <w:sz w:val="16"/>
      <w:szCs w:val="16"/>
    </w:rPr>
  </w:style>
  <w:style w:type="character" w:customStyle="1" w:styleId="Char5">
    <w:name w:val="页眉 Char"/>
    <w:link w:val="a9"/>
    <w:qFormat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af2">
    <w:name w:val="List Paragraph"/>
    <w:basedOn w:val="a"/>
    <w:link w:val="Char8"/>
    <w:uiPriority w:val="34"/>
    <w:qFormat/>
    <w:pPr>
      <w:ind w:left="720"/>
      <w:contextualSpacing/>
    </w:pPr>
  </w:style>
  <w:style w:type="character" w:customStyle="1" w:styleId="1Char">
    <w:name w:val="标题 1 Char"/>
    <w:link w:val="10"/>
    <w:uiPriority w:val="9"/>
    <w:qFormat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Char4">
    <w:name w:val="页脚 Char"/>
    <w:basedOn w:val="a0"/>
    <w:link w:val="a8"/>
    <w:uiPriority w:val="99"/>
  </w:style>
  <w:style w:type="character" w:customStyle="1" w:styleId="Char1">
    <w:name w:val="批注文字 Char"/>
    <w:link w:val="a5"/>
    <w:uiPriority w:val="99"/>
    <w:qFormat/>
    <w:rPr>
      <w:rFonts w:eastAsia="PMingLiU"/>
      <w:sz w:val="22"/>
      <w:szCs w:val="22"/>
      <w:lang w:eastAsia="ko-KR"/>
    </w:rPr>
  </w:style>
  <w:style w:type="character" w:customStyle="1" w:styleId="Char2">
    <w:name w:val="正文文本 Char"/>
    <w:link w:val="a6"/>
    <w:qFormat/>
    <w:rPr>
      <w:rFonts w:eastAsia="PMingLiU"/>
      <w:sz w:val="22"/>
      <w:szCs w:val="22"/>
      <w:lang w:eastAsia="ko-KR"/>
    </w:rPr>
  </w:style>
  <w:style w:type="character" w:customStyle="1" w:styleId="Char3">
    <w:name w:val="批注框文本 Char"/>
    <w:link w:val="a7"/>
    <w:uiPriority w:val="99"/>
    <w:semiHidden/>
    <w:qFormat/>
    <w:rPr>
      <w:rFonts w:ascii="Tahoma" w:hAnsi="Tahoma" w:cs="Tahoma"/>
      <w:sz w:val="16"/>
      <w:szCs w:val="16"/>
      <w:lang w:eastAsia="ko-KR"/>
    </w:rPr>
  </w:style>
  <w:style w:type="character" w:customStyle="1" w:styleId="2Char">
    <w:name w:val="标题 2 Char"/>
    <w:link w:val="2"/>
    <w:qFormat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Char">
    <w:name w:val="标题 3 Char"/>
    <w:link w:val="3"/>
    <w:uiPriority w:val="9"/>
    <w:qFormat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qFormat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har7">
    <w:name w:val="批注主题 Char"/>
    <w:link w:val="ac"/>
    <w:uiPriority w:val="99"/>
    <w:semiHidden/>
    <w:qFormat/>
    <w:rPr>
      <w:rFonts w:eastAsia="PMingLiU"/>
      <w:b/>
      <w:bCs/>
      <w:sz w:val="22"/>
      <w:szCs w:val="22"/>
      <w:lang w:eastAsia="ko-KR"/>
    </w:rPr>
  </w:style>
  <w:style w:type="character" w:customStyle="1" w:styleId="4Char">
    <w:name w:val="标题 4 Char"/>
    <w:link w:val="4"/>
    <w:uiPriority w:val="9"/>
    <w:semiHidden/>
    <w:qFormat/>
    <w:rPr>
      <w:b/>
      <w:bCs/>
      <w:sz w:val="28"/>
      <w:szCs w:val="28"/>
      <w:lang w:val="zh-CN" w:eastAsia="ko-KR"/>
    </w:rPr>
  </w:style>
  <w:style w:type="character" w:customStyle="1" w:styleId="5Char">
    <w:name w:val="标题 5 Char"/>
    <w:link w:val="5"/>
    <w:uiPriority w:val="9"/>
    <w:semiHidden/>
    <w:qFormat/>
    <w:rPr>
      <w:b/>
      <w:bCs/>
      <w:i/>
      <w:iCs/>
      <w:sz w:val="26"/>
      <w:szCs w:val="26"/>
      <w:lang w:val="zh-CN" w:eastAsia="ko-KR"/>
    </w:rPr>
  </w:style>
  <w:style w:type="character" w:customStyle="1" w:styleId="6Char">
    <w:name w:val="标题 6 Char"/>
    <w:link w:val="6"/>
    <w:uiPriority w:val="9"/>
    <w:semiHidden/>
    <w:qFormat/>
    <w:rPr>
      <w:b/>
      <w:bCs/>
      <w:sz w:val="22"/>
      <w:szCs w:val="22"/>
      <w:lang w:val="zh-CN" w:eastAsia="ko-KR"/>
    </w:rPr>
  </w:style>
  <w:style w:type="character" w:customStyle="1" w:styleId="7Char">
    <w:name w:val="标题 7 Char"/>
    <w:link w:val="7"/>
    <w:uiPriority w:val="9"/>
    <w:semiHidden/>
    <w:qFormat/>
    <w:rPr>
      <w:sz w:val="24"/>
      <w:szCs w:val="24"/>
      <w:lang w:val="zh-CN" w:eastAsia="ko-KR"/>
    </w:rPr>
  </w:style>
  <w:style w:type="character" w:customStyle="1" w:styleId="8Char">
    <w:name w:val="标题 8 Char"/>
    <w:link w:val="8"/>
    <w:uiPriority w:val="9"/>
    <w:semiHidden/>
    <w:qFormat/>
    <w:rPr>
      <w:i/>
      <w:iCs/>
      <w:sz w:val="24"/>
      <w:szCs w:val="24"/>
      <w:lang w:val="zh-CN" w:eastAsia="ko-KR"/>
    </w:rPr>
  </w:style>
  <w:style w:type="character" w:customStyle="1" w:styleId="9Char">
    <w:name w:val="标题 9 Char"/>
    <w:link w:val="9"/>
    <w:uiPriority w:val="9"/>
    <w:semiHidden/>
    <w:qFormat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Char0">
    <w:name w:val="文档结构图 Char"/>
    <w:link w:val="a4"/>
    <w:uiPriority w:val="99"/>
    <w:semiHidden/>
    <w:qFormat/>
    <w:rPr>
      <w:rFonts w:ascii="Gulim" w:eastAsia="Gulim"/>
      <w:sz w:val="18"/>
      <w:szCs w:val="18"/>
    </w:rPr>
  </w:style>
  <w:style w:type="paragraph" w:styleId="af3">
    <w:name w:val="No Spacing"/>
    <w:uiPriority w:val="1"/>
    <w:qFormat/>
    <w:pPr>
      <w:spacing w:after="160" w:line="259" w:lineRule="auto"/>
    </w:pPr>
    <w:rPr>
      <w:sz w:val="22"/>
      <w:szCs w:val="22"/>
      <w:lang w:eastAsia="ko-KR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qFormat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宋体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qFormat/>
    <w:rPr>
      <w:rFonts w:eastAsia="宋体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宋体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宋体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宋体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宋体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har">
    <w:name w:val="题注 Char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宋体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宋体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Char8">
    <w:name w:val="列出段落 Char"/>
    <w:link w:val="af2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af4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sz w:val="22"/>
      <w:szCs w:val="22"/>
      <w:lang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Char6">
    <w:name w:val="标题 Char"/>
    <w:basedOn w:val="a0"/>
    <w:link w:val="ab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pPr>
      <w:keepNext/>
      <w:keepLines/>
      <w:numPr>
        <w:numId w:val="9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宋体" w:hAnsi="Arial"/>
      <w:sz w:val="36"/>
      <w:szCs w:val="20"/>
      <w:lang w:val="en-GB" w:eastAsia="de-DE"/>
    </w:rPr>
  </w:style>
  <w:style w:type="paragraph" w:customStyle="1" w:styleId="B2">
    <w:name w:val="B2"/>
    <w:basedOn w:val="20"/>
    <w:link w:val="B2Char"/>
    <w:qFormat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eastAsiaTheme="minorEastAsia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D:\Documents\3GPP%20documents\RAN1\TSGR1_106-e\Docs\R1-210692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7661EA-02A2-4C75-A410-5D1031EE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2021-08-19T03:31:00Z</dcterms:created>
  <dcterms:modified xsi:type="dcterms:W3CDTF">2021-08-19T03:31:00Z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KSOProductBuildVer">
    <vt:lpwstr>2052-11.8.2.9022</vt:lpwstr>
  </property>
</Properties>
</file>