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f2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E44E3E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af9"/>
            <w:rFonts w:ascii="Times New Roman" w:eastAsia="宋体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a9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宋体" w:hAnsi="Times New Roman" w:hint="eastAsia"/>
          <w:b/>
          <w:sz w:val="20"/>
          <w:lang w:eastAsia="zh-CN"/>
        </w:rPr>
        <w:t>understanding 1 or 2 above?</w:t>
      </w:r>
    </w:p>
    <w:tbl>
      <w:tblPr>
        <w:tblStyle w:val="af6"/>
        <w:tblW w:w="4877" w:type="pct"/>
        <w:tblLook w:val="04A0" w:firstRow="1" w:lastRow="0" w:firstColumn="1" w:lastColumn="0" w:noHBand="0" w:noVBand="1"/>
      </w:tblPr>
      <w:tblGrid>
        <w:gridCol w:w="1453"/>
        <w:gridCol w:w="2521"/>
        <w:gridCol w:w="5042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Since current specification doesn</w:t>
            </w:r>
            <w:r>
              <w:rPr>
                <w:rFonts w:ascii="Times New Roman" w:hAnsi="Times New Roman"/>
                <w:sz w:val="20"/>
                <w:szCs w:val="20"/>
              </w:rPr>
              <w:t>’t say one way or another explicitly (and even there is no RAN1 related conclusion/agreement), clarifying one way has potential NBC issue.</w:t>
            </w:r>
          </w:p>
        </w:tc>
      </w:tr>
      <w:tr w:rsidR="001C7D04" w14:paraId="1E617CD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A327EC5" w14:textId="70333769" w:rsidR="001C7D04" w:rsidRPr="001C7D04" w:rsidRDefault="001C7D04" w:rsidP="005951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1398" w:type="pct"/>
          </w:tcPr>
          <w:p w14:paraId="3E3628A1" w14:textId="6B6E8D2D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Up to UE implementation</w:t>
            </w:r>
          </w:p>
        </w:tc>
        <w:tc>
          <w:tcPr>
            <w:tcW w:w="2796" w:type="pct"/>
            <w:vAlign w:val="center"/>
          </w:tcPr>
          <w:p w14:paraId="3EC172E4" w14:textId="707E92F8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ince these two different operations happen at same time, there are no clear statement of the order for thus problem, it can up to UE implementation for these cases.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宋体" w:hAnsi="Times New Roman"/>
          <w:b/>
          <w:sz w:val="20"/>
          <w:lang w:eastAsia="zh-CN"/>
        </w:rPr>
        <w:t>necessary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宋体" w:hAnsi="Times New Roman"/>
          <w:b/>
          <w:sz w:val="20"/>
          <w:lang w:eastAsia="zh-CN"/>
        </w:rPr>
        <w:t>behavior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b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b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D04" w14:paraId="2B4A609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74CD264C" w14:textId="434CDF80" w:rsidR="001C7D04" w:rsidRPr="001C7D04" w:rsidRDefault="001C7D04" w:rsidP="000A628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2097" w:type="pct"/>
          </w:tcPr>
          <w:p w14:paraId="7D4325BF" w14:textId="1F28D409" w:rsidR="001C7D04" w:rsidRPr="001C7D04" w:rsidRDefault="001C7D04" w:rsidP="000A6281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 for Rel-15</w:t>
            </w:r>
          </w:p>
        </w:tc>
        <w:tc>
          <w:tcPr>
            <w:tcW w:w="2096" w:type="pct"/>
            <w:vAlign w:val="center"/>
          </w:tcPr>
          <w:p w14:paraId="140BFF35" w14:textId="77777777" w:rsidR="001C7D04" w:rsidRDefault="001C7D04" w:rsidP="000A62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65A0D0E" w14:textId="77777777" w:rsidR="00A55B23" w:rsidRDefault="00A55B23" w:rsidP="00A55B23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Theme="minorEastAsia" w:hAnsi="Arial" w:cs="Arial"/>
          <w:color w:val="auto"/>
        </w:rPr>
      </w:pPr>
      <w:r>
        <w:rPr>
          <w:rFonts w:ascii="Arial" w:hAnsi="Arial" w:cs="Arial" w:hint="eastAsia"/>
          <w:color w:val="auto"/>
        </w:rPr>
        <w:t>Initial summary</w:t>
      </w:r>
    </w:p>
    <w:p w14:paraId="17B38F9B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Based on the feedback in section 2,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understanding of the current specification is summarized as follows. </w:t>
      </w:r>
    </w:p>
    <w:p w14:paraId="5E98E5A7" w14:textId="77777777" w:rsidR="00A55B23" w:rsidRPr="0013757D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2AAF284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CA95296" w14:textId="77777777" w:rsidR="00A55B23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26D204B5" w14:textId="77777777" w:rsidR="00A55B23" w:rsidRDefault="00A55B23" w:rsidP="00A55B23">
      <w:pPr>
        <w:pStyle w:val="a9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Supported by</w:t>
      </w:r>
      <w:r>
        <w:rPr>
          <w:rFonts w:ascii="Times New Roman" w:eastAsia="宋体" w:hAnsi="Times New Roman"/>
          <w:sz w:val="20"/>
          <w:szCs w:val="20"/>
          <w:lang w:val="en-GB" w:eastAsia="zh-CN"/>
        </w:rPr>
        <w:t>: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vivo, DOCOMO, Intel, Sharp</w:t>
      </w:r>
    </w:p>
    <w:p w14:paraId="620B60C7" w14:textId="77777777" w:rsidR="00A55B23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698CA801" w14:textId="77777777" w:rsidR="00A55B23" w:rsidRDefault="00A55B23" w:rsidP="00A55B23">
      <w:pPr>
        <w:pStyle w:val="a9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Huawei/HiSilicon, ZTE</w:t>
      </w:r>
    </w:p>
    <w:p w14:paraId="541615EA" w14:textId="77777777" w:rsidR="00A55B23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Not clear from the current specification</w:t>
      </w:r>
    </w:p>
    <w:p w14:paraId="6E538CE5" w14:textId="7F500529" w:rsidR="00A55B23" w:rsidRDefault="00A55B23" w:rsidP="00A55B23">
      <w:pPr>
        <w:pStyle w:val="a9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Qualcomm, OPPO, Samsung</w:t>
      </w:r>
      <w:r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, Spreadtrum</w:t>
      </w:r>
    </w:p>
    <w:p w14:paraId="165113B2" w14:textId="77777777" w:rsidR="00A55B23" w:rsidRPr="0013757D" w:rsidRDefault="00A55B23" w:rsidP="00A55B23">
      <w:pPr>
        <w:rPr>
          <w:rFonts w:eastAsiaTheme="minorEastAsia"/>
          <w:lang w:val="en-GB" w:eastAsia="zh-CN"/>
        </w:rPr>
      </w:pPr>
    </w:p>
    <w:p w14:paraId="3F6D59B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 xml:space="preserve">It is clear that companies have different understandings on the current specification. </w:t>
      </w:r>
      <w:r w:rsidRPr="0013757D">
        <w:rPr>
          <w:rFonts w:ascii="Times New Roman" w:hAnsi="Times New Roman" w:hint="eastAsia"/>
          <w:sz w:val="20"/>
          <w:szCs w:val="20"/>
          <w:lang w:eastAsia="zh-CN"/>
        </w:rPr>
        <w:t xml:space="preserve">On whether to </w:t>
      </w:r>
      <w:r>
        <w:rPr>
          <w:rFonts w:ascii="Times New Roman" w:hAnsi="Times New Roman" w:hint="eastAsia"/>
          <w:sz w:val="20"/>
          <w:szCs w:val="20"/>
          <w:lang w:eastAsia="zh-CN"/>
        </w:rPr>
        <w:t>clarify the intended UE behavior,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as follows:</w:t>
      </w:r>
    </w:p>
    <w:p w14:paraId="6117E1AD" w14:textId="77777777" w:rsidR="00A55B23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Yes: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Rel-17),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Huawei/HiSilicon, Ericsson, ZTE, DOCOMO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Intel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(Understanding 1), </w:t>
      </w:r>
    </w:p>
    <w:p w14:paraId="6C399106" w14:textId="109EECD3" w:rsidR="00A55B23" w:rsidRPr="0013757D" w:rsidRDefault="00A55B23" w:rsidP="00A55B23">
      <w:pPr>
        <w:pStyle w:val="a9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No: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Rel-15&amp;Rel-16),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Qualcomm, OPPO, Sharp, Samsung</w:t>
      </w:r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, Spreadtrum 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>(for Rel-15)</w:t>
      </w:r>
    </w:p>
    <w:p w14:paraId="777D7196" w14:textId="77777777" w:rsidR="00A55B23" w:rsidRDefault="00A55B23" w:rsidP="00A55B23">
      <w:pPr>
        <w:rPr>
          <w:rFonts w:eastAsiaTheme="minorEastAsia"/>
          <w:lang w:eastAsia="zh-CN"/>
        </w:rPr>
      </w:pPr>
    </w:p>
    <w:p w14:paraId="227B829A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35C2">
        <w:rPr>
          <w:rFonts w:ascii="Times New Roman" w:hAnsi="Times New Roman" w:hint="eastAsia"/>
          <w:sz w:val="20"/>
          <w:szCs w:val="20"/>
          <w:lang w:eastAsia="zh-CN"/>
        </w:rPr>
        <w:lastRenderedPageBreak/>
        <w:t xml:space="preserve">For Rel-15, </w:t>
      </w:r>
      <w:r>
        <w:rPr>
          <w:rFonts w:ascii="Times New Roman" w:hAnsi="Times New Roman" w:hint="eastAsia"/>
          <w:sz w:val="20"/>
          <w:szCs w:val="20"/>
          <w:lang w:eastAsia="zh-CN"/>
        </w:rPr>
        <w:t>it seems that the only possible outcome is that the concerned case is up to UE implementation. The remaining question is that whether we can reach a conclusion on the intended UE behavior for Rel-16. To that end,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invited for the following question.</w:t>
      </w:r>
    </w:p>
    <w:p w14:paraId="774E1234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>Q3: Do you object to clarify the UE behavior for Rel-16 according to understanding 1 or 2 in section 2?</w:t>
      </w:r>
    </w:p>
    <w:p w14:paraId="091D40F1" w14:textId="4BB5F1A0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Please add you company name if you object to the understanding(s). It would also be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appreciate</w:t>
      </w:r>
      <w:r w:rsidR="00CB5E8F">
        <w:rPr>
          <w:rFonts w:ascii="Times New Roman" w:eastAsiaTheme="minorEastAsia" w:hAnsi="Times New Roman" w:hint="eastAsia"/>
          <w:sz w:val="20"/>
          <w:szCs w:val="20"/>
          <w:lang w:eastAsia="zh-CN"/>
        </w:rPr>
        <w:t>d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you can provide your reason in the table.</w:t>
      </w:r>
    </w:p>
    <w:p w14:paraId="42510E2E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1: </w:t>
      </w:r>
    </w:p>
    <w:p w14:paraId="3A99D021" w14:textId="5E948BAC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2: </w:t>
      </w:r>
      <w:r w:rsidR="0052659A">
        <w:rPr>
          <w:rFonts w:ascii="Times New Roman" w:eastAsiaTheme="minorEastAsia" w:hAnsi="Times New Roman"/>
          <w:b/>
          <w:sz w:val="20"/>
          <w:szCs w:val="20"/>
          <w:lang w:eastAsia="zh-CN"/>
        </w:rPr>
        <w:t>vivo</w:t>
      </w:r>
    </w:p>
    <w:p w14:paraId="39D25E8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069"/>
        <w:gridCol w:w="7174"/>
      </w:tblGrid>
      <w:tr w:rsidR="00A55B23" w14:paraId="657DEE0A" w14:textId="77777777" w:rsidTr="00D65F10">
        <w:trPr>
          <w:trHeight w:val="20"/>
        </w:trPr>
        <w:tc>
          <w:tcPr>
            <w:tcW w:w="1119" w:type="pct"/>
            <w:shd w:val="clear" w:color="auto" w:fill="E7E6E6" w:themeFill="background2"/>
            <w:vAlign w:val="center"/>
          </w:tcPr>
          <w:p w14:paraId="56812108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32DD0E64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55B23" w14:paraId="30094583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2B21DC10" w14:textId="376073E6" w:rsidR="00A55B23" w:rsidRPr="00823AE5" w:rsidRDefault="00823AE5" w:rsidP="00D65F10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 w:rsidR="0052659A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3881" w:type="pct"/>
            <w:vAlign w:val="center"/>
          </w:tcPr>
          <w:p w14:paraId="4D0410E7" w14:textId="2571E511" w:rsidR="00A55B23" w:rsidRDefault="0052659A" w:rsidP="0052659A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 other companies commented that the collision handling for the two cases are defined independently in the spec. Whether the semi-static transmission like SPS or CG can be performed or cancelled depends on whether it receives the L1 indication, it does not 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require UE to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check whether the dynamic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ally</w:t>
            </w:r>
            <w:bookmarkStart w:id="4" w:name="_GoBack"/>
            <w:bookmarkEnd w:id="4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scheduled PUSCH is actually happens or not. Understanding 2 adds additional complexity at the UE side.  </w:t>
            </w:r>
          </w:p>
        </w:tc>
      </w:tr>
      <w:tr w:rsidR="00A55B23" w14:paraId="605FCC61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EBC7307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4E95B579" w14:textId="77777777" w:rsidR="00A55B23" w:rsidRDefault="00A55B23" w:rsidP="00D65F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5DB075C2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63094E1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20CC6E4E" w14:textId="77777777" w:rsidR="00A55B23" w:rsidRDefault="00A55B23" w:rsidP="00D65F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056A584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5A281FF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5661EA67" w14:textId="77777777" w:rsidR="00A55B23" w:rsidRDefault="00A55B23" w:rsidP="00D65F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5950C72B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BCA1E25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73F356AB" w14:textId="77777777" w:rsidR="00A55B23" w:rsidRDefault="00A55B23" w:rsidP="00D65F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69BE9C9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0AF5AFCA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0E6592D5" w14:textId="77777777" w:rsidR="00A55B23" w:rsidRDefault="00A55B23" w:rsidP="00D65F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2E6F3EA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0894070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3C79F9C1" w14:textId="77777777" w:rsidR="00A55B23" w:rsidRPr="0008508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4D1F5C4D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7CC24DF9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45363F18" w14:textId="77777777" w:rsidR="00A55B2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3452D1A5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4724D4FB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6B0B874F" w14:textId="77777777" w:rsidR="00A55B2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55FD211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84168A7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3058B3F9" w14:textId="77777777" w:rsidR="00A55B23" w:rsidRDefault="00A55B23" w:rsidP="00D65F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6AEC1E3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0B5D5387" w14:textId="77777777" w:rsidR="00A55B23" w:rsidRDefault="00A55B23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0259" w14:textId="77777777" w:rsidR="00E44E3E" w:rsidRDefault="00E44E3E">
      <w:pPr>
        <w:spacing w:after="0" w:line="240" w:lineRule="auto"/>
      </w:pPr>
      <w:r>
        <w:separator/>
      </w:r>
    </w:p>
  </w:endnote>
  <w:endnote w:type="continuationSeparator" w:id="0">
    <w:p w14:paraId="513C0C6F" w14:textId="77777777" w:rsidR="00E44E3E" w:rsidRDefault="00E4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172D" w14:textId="30E8F3A3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9968C9">
      <w:rPr>
        <w:b/>
        <w:noProof/>
        <w:sz w:val="20"/>
        <w:szCs w:val="20"/>
      </w:rPr>
      <w:t>4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9968C9" w:rsidRPr="009968C9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6BA64" w14:textId="77777777" w:rsidR="00E44E3E" w:rsidRDefault="00E44E3E">
      <w:pPr>
        <w:spacing w:after="0" w:line="240" w:lineRule="auto"/>
      </w:pPr>
      <w:r>
        <w:separator/>
      </w:r>
    </w:p>
  </w:footnote>
  <w:footnote w:type="continuationSeparator" w:id="0">
    <w:p w14:paraId="2FD0E517" w14:textId="77777777" w:rsidR="00E44E3E" w:rsidRDefault="00E44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removePersonalInformation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C7D04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659A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3AE5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8C9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B23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C7F09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131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B5E8F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4E3E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ind w:left="432" w:right="471"/>
      <w:jc w:val="center"/>
    </w:pPr>
    <w:rPr>
      <w:rFonts w:eastAsia="PMingLiU"/>
      <w:b/>
    </w:rPr>
  </w:style>
  <w:style w:type="paragraph" w:styleId="a5">
    <w:name w:val="Document Map"/>
    <w:basedOn w:val="a"/>
    <w:link w:val="a6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7">
    <w:name w:val="annotation text"/>
    <w:basedOn w:val="a"/>
    <w:link w:val="a8"/>
    <w:qFormat/>
    <w:rPr>
      <w:rFonts w:eastAsia="PMingLiU"/>
      <w:lang w:val="zh-CN"/>
    </w:rPr>
  </w:style>
  <w:style w:type="paragraph" w:styleId="a9">
    <w:name w:val="Body Text"/>
    <w:basedOn w:val="a"/>
    <w:link w:val="aa"/>
    <w:qFormat/>
    <w:pPr>
      <w:spacing w:after="120"/>
      <w:jc w:val="both"/>
    </w:pPr>
    <w:rPr>
      <w:rFonts w:eastAsia="PMingLiU"/>
      <w:lang w:val="zh-CN"/>
    </w:rPr>
  </w:style>
  <w:style w:type="paragraph" w:styleId="21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header"/>
    <w:basedOn w:val="a"/>
    <w:link w:val="af0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qFormat/>
    <w:rPr>
      <w:b/>
      <w:bCs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Pr>
      <w:b/>
      <w:bCs/>
    </w:rPr>
  </w:style>
  <w:style w:type="character" w:styleId="af8">
    <w:name w:val="FollowedHyperlink"/>
    <w:uiPriority w:val="99"/>
    <w:semiHidden/>
    <w:unhideWhenUsed/>
    <w:rPr>
      <w:color w:val="800080"/>
      <w:u w:val="single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nhideWhenUsed/>
    <w:qFormat/>
    <w:rPr>
      <w:sz w:val="16"/>
      <w:szCs w:val="16"/>
    </w:rPr>
  </w:style>
  <w:style w:type="character" w:customStyle="1" w:styleId="af0">
    <w:name w:val="页眉 字符"/>
    <w:link w:val="af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</w:style>
  <w:style w:type="character" w:customStyle="1" w:styleId="11">
    <w:name w:val="标题 1 字符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ae">
    <w:name w:val="页脚 字符"/>
    <w:basedOn w:val="a0"/>
    <w:link w:val="ad"/>
    <w:uiPriority w:val="99"/>
  </w:style>
  <w:style w:type="character" w:customStyle="1" w:styleId="a8">
    <w:name w:val="批注文字 字符"/>
    <w:link w:val="a7"/>
    <w:uiPriority w:val="99"/>
    <w:qFormat/>
    <w:rPr>
      <w:rFonts w:eastAsia="PMingLiU"/>
      <w:sz w:val="22"/>
      <w:szCs w:val="22"/>
      <w:lang w:eastAsia="ko-KR"/>
    </w:rPr>
  </w:style>
  <w:style w:type="character" w:customStyle="1" w:styleId="aa">
    <w:name w:val="正文文本 字符"/>
    <w:link w:val="a9"/>
    <w:qFormat/>
    <w:rPr>
      <w:rFonts w:eastAsia="PMingLiU"/>
      <w:sz w:val="22"/>
      <w:szCs w:val="22"/>
      <w:lang w:eastAsia="ko-KR"/>
    </w:rPr>
  </w:style>
  <w:style w:type="character" w:customStyle="1" w:styleId="ac">
    <w:name w:val="批注框文本 字符"/>
    <w:link w:val="ab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0">
    <w:name w:val="标题 2 字符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0">
    <w:name w:val="标题 3 字符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af5">
    <w:name w:val="批注主题 字符"/>
    <w:link w:val="af4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0">
    <w:name w:val="标题 4 字符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0">
    <w:name w:val="标题 5 字符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0">
    <w:name w:val="标题 6 字符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0">
    <w:name w:val="标题 7 字符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0">
    <w:name w:val="标题 8 字符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0">
    <w:name w:val="标题 9 字符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6">
    <w:name w:val="文档结构图 字符"/>
    <w:link w:val="a5"/>
    <w:uiPriority w:val="99"/>
    <w:semiHidden/>
    <w:qFormat/>
    <w:rPr>
      <w:rFonts w:ascii="Gulim" w:eastAsia="Gulim"/>
      <w:sz w:val="18"/>
      <w:szCs w:val="18"/>
    </w:rPr>
  </w:style>
  <w:style w:type="paragraph" w:styleId="afd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4">
    <w:name w:val="题注 字符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fc">
    <w:name w:val="列出段落 字符"/>
    <w:link w:val="afb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e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af3">
    <w:name w:val="标题 字符"/>
    <w:basedOn w:val="a0"/>
    <w:link w:val="af2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1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0AF9D-038C-415D-AAA2-A64FC26E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2021-08-18T01:49:00Z</dcterms:created>
  <dcterms:modified xsi:type="dcterms:W3CDTF">2021-08-18T06:08:00Z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