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E8C7A25" w14:textId="239A5E79" w:rsidR="00E54C6A" w:rsidRPr="0052548E" w:rsidRDefault="00E54C6A" w:rsidP="002C473D">
      <w:pPr>
        <w:tabs>
          <w:tab w:val="left" w:pos="0"/>
          <w:tab w:val="center" w:pos="4536"/>
          <w:tab w:val="right" w:pos="7938"/>
          <w:tab w:val="right" w:pos="9639"/>
        </w:tabs>
        <w:spacing w:after="0"/>
        <w:ind w:right="2"/>
        <w:rPr>
          <w:rFonts w:ascii="Arial" w:hAnsi="Arial" w:cs="Arial"/>
          <w:b/>
          <w:bCs/>
          <w:sz w:val="28"/>
        </w:rPr>
      </w:pPr>
      <w:bookmarkStart w:id="0" w:name="_Hlk4231204"/>
      <w:bookmarkStart w:id="1" w:name="_Ref513464071"/>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594716">
        <w:rPr>
          <w:rFonts w:ascii="Arial" w:hAnsi="Arial" w:cs="Arial"/>
          <w:b/>
          <w:bCs/>
          <w:sz w:val="28"/>
        </w:rPr>
        <w:t xml:space="preserve"> </w:t>
      </w:r>
      <w:r w:rsidRPr="009610D7">
        <w:rPr>
          <w:rFonts w:ascii="Arial" w:hAnsi="Arial" w:cs="Arial"/>
          <w:b/>
          <w:bCs/>
          <w:sz w:val="28"/>
        </w:rPr>
        <w:tab/>
        <w:t>R1-210</w:t>
      </w:r>
      <w:r w:rsidR="00594716">
        <w:rPr>
          <w:rFonts w:ascii="Arial" w:hAnsi="Arial" w:cs="Arial"/>
          <w:b/>
          <w:bCs/>
          <w:sz w:val="28"/>
        </w:rPr>
        <w:t>8038</w:t>
      </w:r>
    </w:p>
    <w:p w14:paraId="2E36A9CB" w14:textId="77777777" w:rsidR="00E54C6A" w:rsidRPr="009513AC" w:rsidRDefault="00E54C6A" w:rsidP="00594716">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19D2C9F4"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w:t>
      </w:r>
      <w:r w:rsidR="00BA55AC">
        <w:rPr>
          <w:rFonts w:cs="Arial"/>
          <w:b/>
          <w:bCs/>
          <w:sz w:val="24"/>
          <w:szCs w:val="24"/>
          <w:lang w:val="en-US"/>
        </w:rPr>
        <w:t>15</w:t>
      </w:r>
      <w:r w:rsidRPr="00F76DA7">
        <w:rPr>
          <w:rFonts w:cs="Arial"/>
          <w:b/>
          <w:bCs/>
          <w:sz w:val="24"/>
          <w:szCs w:val="24"/>
          <w:lang w:val="en-US"/>
        </w:rPr>
        <w:t>.</w:t>
      </w:r>
      <w:r w:rsidR="0007341A">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572015B5"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C173F8">
        <w:rPr>
          <w:rFonts w:ascii="Arial" w:hAnsi="Arial" w:cs="Arial"/>
          <w:b/>
          <w:bCs/>
        </w:rPr>
        <w:t xml:space="preserve">On </w:t>
      </w:r>
      <w:r w:rsidR="002431CC">
        <w:rPr>
          <w:rFonts w:ascii="Arial" w:hAnsi="Arial" w:cs="Arial"/>
          <w:b/>
          <w:bCs/>
        </w:rPr>
        <w:t>T</w:t>
      </w:r>
      <w:r w:rsidR="009E55C1">
        <w:rPr>
          <w:rFonts w:ascii="Arial" w:hAnsi="Arial" w:cs="Arial"/>
          <w:b/>
          <w:bCs/>
        </w:rPr>
        <w:t>im</w:t>
      </w:r>
      <w:r w:rsidR="002431CC">
        <w:rPr>
          <w:rFonts w:ascii="Arial" w:hAnsi="Arial" w:cs="Arial"/>
          <w:b/>
          <w:bCs/>
        </w:rPr>
        <w:t>e/Frequency Sync</w:t>
      </w:r>
      <w:r w:rsidR="00C0319B">
        <w:rPr>
          <w:rFonts w:ascii="Arial" w:hAnsi="Arial" w:cs="Arial"/>
          <w:b/>
          <w:bCs/>
        </w:rPr>
        <w:t xml:space="preserve">hronization </w:t>
      </w:r>
      <w:r w:rsidR="0078522C">
        <w:rPr>
          <w:rFonts w:ascii="Arial" w:hAnsi="Arial" w:cs="Arial"/>
          <w:b/>
          <w:bCs/>
        </w:rPr>
        <w:t xml:space="preserve">for </w:t>
      </w:r>
      <w:r w:rsidR="00BA55AC">
        <w:rPr>
          <w:rFonts w:ascii="Arial" w:hAnsi="Arial" w:cs="Arial"/>
          <w:b/>
          <w:bCs/>
        </w:rPr>
        <w:t xml:space="preserve">IoT </w:t>
      </w:r>
      <w:r w:rsidR="0078522C">
        <w:rPr>
          <w:rFonts w:ascii="Arial" w:hAnsi="Arial" w:cs="Arial"/>
          <w:b/>
          <w:bCs/>
        </w:rPr>
        <w:t>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5EF1BCBF" w14:textId="5C5051E4" w:rsidR="005A500F" w:rsidRPr="00416213" w:rsidRDefault="005A500F" w:rsidP="00416213">
      <w:pPr>
        <w:jc w:val="both"/>
        <w:rPr>
          <w:rFonts w:ascii="Arial" w:hAnsi="Arial" w:cs="Arial"/>
        </w:rPr>
      </w:pPr>
      <w:r w:rsidRPr="00416213">
        <w:rPr>
          <w:rFonts w:ascii="Arial" w:hAnsi="Arial" w:cs="Arial"/>
        </w:rPr>
        <w:t>In RAN</w:t>
      </w:r>
      <w:r w:rsidR="00C173F8">
        <w:rPr>
          <w:rFonts w:ascii="Arial" w:hAnsi="Arial" w:cs="Arial"/>
        </w:rPr>
        <w:t xml:space="preserve"> </w:t>
      </w:r>
      <w:r w:rsidRPr="00416213">
        <w:rPr>
          <w:rFonts w:ascii="Arial" w:hAnsi="Arial" w:cs="Arial"/>
        </w:rPr>
        <w:t>#</w:t>
      </w:r>
      <w:r w:rsidR="00C173F8">
        <w:rPr>
          <w:rFonts w:ascii="Arial" w:hAnsi="Arial" w:cs="Arial"/>
        </w:rPr>
        <w:t>92</w:t>
      </w:r>
      <w:r w:rsidR="00F2153D">
        <w:rPr>
          <w:rFonts w:ascii="Arial" w:hAnsi="Arial" w:cs="Arial"/>
        </w:rPr>
        <w:t>-</w:t>
      </w:r>
      <w:r w:rsidR="003447E3">
        <w:rPr>
          <w:rFonts w:ascii="Arial" w:hAnsi="Arial" w:cs="Arial"/>
        </w:rPr>
        <w:t>e</w:t>
      </w:r>
      <w:r w:rsidRPr="00416213">
        <w:rPr>
          <w:rFonts w:ascii="Arial" w:hAnsi="Arial" w:cs="Arial"/>
        </w:rPr>
        <w:t xml:space="preserve">, </w:t>
      </w:r>
      <w:r w:rsidR="00C173F8">
        <w:rPr>
          <w:rFonts w:ascii="Arial" w:hAnsi="Arial" w:cs="Arial"/>
        </w:rPr>
        <w:t>the WI on NB-IoT/</w:t>
      </w:r>
      <w:proofErr w:type="spellStart"/>
      <w:r w:rsidR="00C173F8">
        <w:rPr>
          <w:rFonts w:ascii="Arial" w:hAnsi="Arial" w:cs="Arial"/>
        </w:rPr>
        <w:t>eMTC</w:t>
      </w:r>
      <w:proofErr w:type="spellEnd"/>
      <w:r w:rsidR="00C173F8">
        <w:rPr>
          <w:rFonts w:ascii="Arial" w:hAnsi="Arial" w:cs="Arial"/>
        </w:rPr>
        <w:t xml:space="preserve"> for NTN has been approved and the following objective</w:t>
      </w:r>
      <w:r w:rsidR="001A4D06">
        <w:rPr>
          <w:rFonts w:ascii="Arial" w:hAnsi="Arial" w:cs="Arial"/>
        </w:rPr>
        <w:t>s</w:t>
      </w:r>
      <w:r w:rsidR="00C173F8">
        <w:rPr>
          <w:rFonts w:ascii="Arial" w:hAnsi="Arial" w:cs="Arial"/>
        </w:rPr>
        <w:t xml:space="preserve"> has been captured for time/frequency synchronization as a RAN1 scope</w:t>
      </w:r>
      <w:r w:rsidR="003447E3">
        <w:rPr>
          <w:rFonts w:ascii="Arial" w:hAnsi="Arial" w:cs="Arial"/>
        </w:rPr>
        <w:t xml:space="preserve"> </w:t>
      </w:r>
      <w:r w:rsidRPr="00416213">
        <w:rPr>
          <w:rFonts w:ascii="Arial" w:hAnsi="Arial" w:cs="Arial"/>
        </w:rPr>
        <w:t>[1]:</w:t>
      </w:r>
    </w:p>
    <w:tbl>
      <w:tblPr>
        <w:tblStyle w:val="TableGrid"/>
        <w:tblW w:w="0" w:type="auto"/>
        <w:tblLook w:val="04A0" w:firstRow="1" w:lastRow="0" w:firstColumn="1" w:lastColumn="0" w:noHBand="0" w:noVBand="1"/>
      </w:tblPr>
      <w:tblGrid>
        <w:gridCol w:w="9962"/>
      </w:tblGrid>
      <w:tr w:rsidR="00C173F8" w14:paraId="45CCA38B" w14:textId="77777777" w:rsidTr="00C173F8">
        <w:tc>
          <w:tcPr>
            <w:tcW w:w="9962" w:type="dxa"/>
          </w:tcPr>
          <w:p w14:paraId="02CD1E67" w14:textId="77777777" w:rsidR="00C173F8" w:rsidRPr="00C173F8" w:rsidRDefault="00C173F8" w:rsidP="00C173F8">
            <w:pPr>
              <w:rPr>
                <w:rFonts w:ascii="Times New Roman" w:hAnsi="Times New Roman" w:cs="Times New Roman"/>
                <w:i/>
                <w:iCs/>
              </w:rPr>
            </w:pPr>
            <w:r w:rsidRPr="00C173F8">
              <w:rPr>
                <w:rFonts w:ascii="Times New Roman" w:hAnsi="Times New Roman" w:cs="Times New Roman"/>
                <w:i/>
                <w:iCs/>
              </w:rPr>
              <w:t xml:space="preserve">Specify the following time and frequency synchronization enhancements, using </w:t>
            </w:r>
            <w:proofErr w:type="spellStart"/>
            <w:r w:rsidRPr="00C173F8">
              <w:rPr>
                <w:rFonts w:ascii="Times New Roman" w:hAnsi="Times New Roman" w:cs="Times New Roman"/>
                <w:i/>
                <w:iCs/>
              </w:rPr>
              <w:t>NR_NTN_solutions</w:t>
            </w:r>
            <w:proofErr w:type="spellEnd"/>
            <w:r w:rsidRPr="00C173F8">
              <w:rPr>
                <w:rFonts w:ascii="Times New Roman" w:hAnsi="Times New Roman" w:cs="Times New Roman"/>
                <w:i/>
                <w:iCs/>
              </w:rPr>
              <w:t xml:space="preserve"> </w:t>
            </w:r>
            <w:proofErr w:type="gramStart"/>
            <w:r w:rsidRPr="00C173F8">
              <w:rPr>
                <w:rFonts w:ascii="Times New Roman" w:hAnsi="Times New Roman" w:cs="Times New Roman"/>
                <w:i/>
                <w:iCs/>
              </w:rPr>
              <w:t>WI  agreements</w:t>
            </w:r>
            <w:proofErr w:type="gramEnd"/>
            <w:r w:rsidRPr="00C173F8">
              <w:rPr>
                <w:rFonts w:ascii="Times New Roman" w:hAnsi="Times New Roman" w:cs="Times New Roman"/>
                <w:i/>
                <w:iCs/>
              </w:rPr>
              <w:t xml:space="preserve"> as baseline, according to Section 8 in TR 36.763: </w:t>
            </w:r>
          </w:p>
          <w:p w14:paraId="12141A48" w14:textId="77777777" w:rsidR="00C173F8" w:rsidRPr="00C173F8" w:rsidRDefault="00C173F8" w:rsidP="00C173F8">
            <w:pPr>
              <w:pStyle w:val="B1"/>
              <w:rPr>
                <w:rFonts w:ascii="Times New Roman" w:hAnsi="Times New Roman" w:cs="Times New Roman"/>
                <w:i/>
                <w:iCs/>
                <w:sz w:val="22"/>
              </w:rPr>
            </w:pPr>
            <w:r w:rsidRPr="00C173F8">
              <w:rPr>
                <w:rFonts w:ascii="Times New Roman" w:hAnsi="Times New Roman" w:cs="Times New Roman"/>
                <w:i/>
                <w:iCs/>
                <w:sz w:val="22"/>
              </w:rPr>
              <w:t>-</w:t>
            </w:r>
            <w:r w:rsidRPr="00C173F8">
              <w:rPr>
                <w:rFonts w:ascii="Times New Roman" w:hAnsi="Times New Roman" w:cs="Times New Roman"/>
                <w:i/>
                <w:iCs/>
                <w:sz w:val="22"/>
              </w:rPr>
              <w:tab/>
              <w:t>UE pre-compensation including ephemeris format (orbital / Position -Velocity)</w:t>
            </w:r>
          </w:p>
          <w:p w14:paraId="2840ECDD" w14:textId="77777777" w:rsidR="00C173F8" w:rsidRPr="00C173F8" w:rsidRDefault="00C173F8" w:rsidP="00C173F8">
            <w:pPr>
              <w:pStyle w:val="B1"/>
              <w:rPr>
                <w:rFonts w:ascii="Times New Roman" w:hAnsi="Times New Roman" w:cs="Times New Roman"/>
                <w:i/>
                <w:iCs/>
                <w:sz w:val="22"/>
              </w:rPr>
            </w:pPr>
            <w:r w:rsidRPr="00C173F8">
              <w:rPr>
                <w:rFonts w:ascii="Times New Roman" w:hAnsi="Times New Roman" w:cs="Times New Roman"/>
                <w:i/>
                <w:iCs/>
                <w:sz w:val="22"/>
              </w:rPr>
              <w:t>-</w:t>
            </w:r>
            <w:r w:rsidRPr="00C173F8">
              <w:rPr>
                <w:rFonts w:ascii="Times New Roman" w:hAnsi="Times New Roman" w:cs="Times New Roman"/>
                <w:i/>
                <w:iCs/>
                <w:sz w:val="22"/>
              </w:rPr>
              <w:tab/>
              <w:t xml:space="preserve">UE pre-compensation for UL synchronization in RRC_IDLE and RRC_CONNECTED states based at least on its GNSS-acquired position and the serving satellite ephemeris </w:t>
            </w:r>
          </w:p>
          <w:p w14:paraId="5DCBA74F" w14:textId="77777777" w:rsidR="00C173F8" w:rsidRPr="00C173F8" w:rsidRDefault="00C173F8" w:rsidP="00C173F8">
            <w:pPr>
              <w:pStyle w:val="B1"/>
              <w:rPr>
                <w:rFonts w:ascii="Times New Roman" w:hAnsi="Times New Roman" w:cs="Times New Roman"/>
                <w:i/>
                <w:iCs/>
                <w:sz w:val="22"/>
              </w:rPr>
            </w:pPr>
            <w:r w:rsidRPr="00C173F8">
              <w:rPr>
                <w:rFonts w:ascii="Times New Roman" w:hAnsi="Times New Roman" w:cs="Times New Roman"/>
                <w:i/>
                <w:iCs/>
                <w:sz w:val="22"/>
              </w:rPr>
              <w:t>-</w:t>
            </w:r>
            <w:r w:rsidRPr="00C173F8">
              <w:rPr>
                <w:rFonts w:ascii="Times New Roman" w:hAnsi="Times New Roman" w:cs="Times New Roman"/>
                <w:i/>
                <w:iCs/>
                <w:sz w:val="22"/>
              </w:rPr>
              <w:tab/>
              <w:t>Timing advance formula (granularity of the timing advance may be different)</w:t>
            </w:r>
          </w:p>
          <w:p w14:paraId="68DE7769" w14:textId="77777777" w:rsidR="00C173F8" w:rsidRPr="00C173F8" w:rsidRDefault="00C173F8" w:rsidP="00C173F8">
            <w:pPr>
              <w:pStyle w:val="B1"/>
              <w:rPr>
                <w:rFonts w:ascii="Times New Roman" w:hAnsi="Times New Roman" w:cs="Times New Roman"/>
                <w:i/>
                <w:iCs/>
                <w:sz w:val="22"/>
              </w:rPr>
            </w:pPr>
            <w:r w:rsidRPr="00C173F8">
              <w:rPr>
                <w:rFonts w:ascii="Times New Roman" w:hAnsi="Times New Roman" w:cs="Times New Roman"/>
                <w:i/>
                <w:iCs/>
                <w:sz w:val="22"/>
              </w:rPr>
              <w:t>-</w:t>
            </w:r>
            <w:r w:rsidRPr="00C173F8">
              <w:rPr>
                <w:rFonts w:ascii="Times New Roman" w:hAnsi="Times New Roman" w:cs="Times New Roman"/>
                <w:i/>
                <w:iCs/>
                <w:sz w:val="22"/>
              </w:rPr>
              <w:tab/>
              <w:t>Combination of Open (</w:t>
            </w:r>
            <w:proofErr w:type="gramStart"/>
            <w:r w:rsidRPr="00C173F8">
              <w:rPr>
                <w:rFonts w:ascii="Times New Roman" w:hAnsi="Times New Roman" w:cs="Times New Roman"/>
                <w:i/>
                <w:iCs/>
                <w:sz w:val="22"/>
              </w:rPr>
              <w:t>i.e.</w:t>
            </w:r>
            <w:proofErr w:type="gramEnd"/>
            <w:r w:rsidRPr="00C173F8">
              <w:rPr>
                <w:rFonts w:ascii="Times New Roman" w:hAnsi="Times New Roman" w:cs="Times New Roman"/>
                <w:i/>
                <w:iCs/>
                <w:sz w:val="22"/>
              </w:rPr>
              <w:t xml:space="preserve"> UE autonomous TA estimation, and common TA estimation) and Closed TA (i.e., received TA commands) control loops in RRC_CONNECTED state</w:t>
            </w:r>
          </w:p>
          <w:p w14:paraId="3997DEB2" w14:textId="77777777" w:rsidR="00C173F8" w:rsidRPr="00C173F8" w:rsidRDefault="00C173F8" w:rsidP="00C173F8">
            <w:pPr>
              <w:rPr>
                <w:rFonts w:ascii="Times New Roman" w:hAnsi="Times New Roman" w:cs="Times New Roman"/>
                <w:i/>
                <w:iCs/>
              </w:rPr>
            </w:pPr>
            <w:r w:rsidRPr="00C173F8">
              <w:rPr>
                <w:rFonts w:ascii="Times New Roman" w:hAnsi="Times New Roman" w:cs="Times New Roman"/>
                <w:i/>
                <w:iCs/>
              </w:rPr>
              <w:t xml:space="preserve">Agreements on the above are up to the decision in </w:t>
            </w:r>
            <w:proofErr w:type="spellStart"/>
            <w:r w:rsidRPr="00C173F8">
              <w:rPr>
                <w:rFonts w:ascii="Times New Roman" w:hAnsi="Times New Roman" w:cs="Times New Roman"/>
                <w:i/>
                <w:iCs/>
              </w:rPr>
              <w:t>NR_NTN_Solutions</w:t>
            </w:r>
            <w:proofErr w:type="spellEnd"/>
            <w:r w:rsidRPr="00C173F8">
              <w:rPr>
                <w:rFonts w:ascii="Times New Roman" w:hAnsi="Times New Roman" w:cs="Times New Roman"/>
                <w:i/>
                <w:iCs/>
              </w:rPr>
              <w:t xml:space="preserve"> WI and will be used for IoT NTN with minimum changes, if any. </w:t>
            </w:r>
          </w:p>
          <w:p w14:paraId="12472D8E" w14:textId="77777777" w:rsidR="00C173F8" w:rsidRPr="00C173F8" w:rsidRDefault="00C173F8" w:rsidP="00C173F8">
            <w:pPr>
              <w:rPr>
                <w:rFonts w:ascii="Times New Roman" w:hAnsi="Times New Roman" w:cs="Times New Roman"/>
                <w:i/>
                <w:iCs/>
              </w:rPr>
            </w:pPr>
            <w:r w:rsidRPr="00C173F8">
              <w:rPr>
                <w:rFonts w:ascii="Times New Roman" w:hAnsi="Times New Roman" w:cs="Times New Roman"/>
                <w:i/>
                <w:iCs/>
              </w:rPr>
              <w:t xml:space="preserve">Specify the following time and frequency synchronization enhancements that are not covered by </w:t>
            </w:r>
            <w:proofErr w:type="spellStart"/>
            <w:r w:rsidRPr="00C173F8">
              <w:rPr>
                <w:rFonts w:ascii="Times New Roman" w:hAnsi="Times New Roman" w:cs="Times New Roman"/>
                <w:i/>
                <w:iCs/>
              </w:rPr>
              <w:t>NR_NTN_Solutions</w:t>
            </w:r>
            <w:proofErr w:type="spellEnd"/>
            <w:r w:rsidRPr="00C173F8">
              <w:rPr>
                <w:rFonts w:ascii="Times New Roman" w:hAnsi="Times New Roman" w:cs="Times New Roman"/>
                <w:i/>
                <w:iCs/>
              </w:rPr>
              <w:t xml:space="preserve"> WI agreements, according to Section 8 in TR 36.763:</w:t>
            </w:r>
          </w:p>
          <w:p w14:paraId="4FAB60B9" w14:textId="77777777" w:rsidR="00C173F8" w:rsidRPr="00C173F8" w:rsidRDefault="00C173F8" w:rsidP="00C173F8">
            <w:pPr>
              <w:pStyle w:val="B1"/>
              <w:rPr>
                <w:rFonts w:ascii="Times New Roman" w:hAnsi="Times New Roman" w:cs="Times New Roman"/>
                <w:i/>
                <w:iCs/>
                <w:sz w:val="22"/>
              </w:rPr>
            </w:pPr>
            <w:r w:rsidRPr="00C173F8">
              <w:rPr>
                <w:rFonts w:ascii="Times New Roman" w:hAnsi="Times New Roman" w:cs="Times New Roman"/>
                <w:i/>
                <w:iCs/>
                <w:sz w:val="22"/>
              </w:rPr>
              <w:t>-</w:t>
            </w:r>
            <w:r w:rsidRPr="00C173F8">
              <w:rPr>
                <w:rFonts w:ascii="Times New Roman" w:hAnsi="Times New Roman" w:cs="Times New Roman"/>
                <w:i/>
                <w:iCs/>
                <w:sz w:val="22"/>
              </w:rPr>
              <w:tab/>
              <w:t>Long PUSCH and PRACH Transmission enhancements: segmented UE pre-compensations, new UL gaps and/or implementation solutions, time units and duration of segments.</w:t>
            </w:r>
          </w:p>
          <w:p w14:paraId="7CAA85A0" w14:textId="77777777" w:rsidR="00C173F8" w:rsidRPr="00C173F8" w:rsidRDefault="00C173F8" w:rsidP="00C173F8">
            <w:pPr>
              <w:pStyle w:val="B1"/>
              <w:rPr>
                <w:rFonts w:ascii="Times New Roman" w:hAnsi="Times New Roman" w:cs="Times New Roman"/>
                <w:i/>
                <w:iCs/>
                <w:sz w:val="22"/>
              </w:rPr>
            </w:pPr>
            <w:r w:rsidRPr="00C173F8">
              <w:rPr>
                <w:rFonts w:ascii="Times New Roman" w:hAnsi="Times New Roman" w:cs="Times New Roman"/>
                <w:i/>
                <w:iCs/>
                <w:sz w:val="22"/>
              </w:rPr>
              <w:t>-</w:t>
            </w:r>
            <w:r w:rsidRPr="00C173F8">
              <w:rPr>
                <w:rFonts w:ascii="Times New Roman" w:hAnsi="Times New Roman" w:cs="Times New Roman"/>
                <w:i/>
                <w:iCs/>
                <w:sz w:val="22"/>
              </w:rPr>
              <w:tab/>
              <w:t>Validity timer for UL synchronization: satellite ephemeris, and potentially other aspects</w:t>
            </w:r>
          </w:p>
          <w:p w14:paraId="34D544F6" w14:textId="77777777" w:rsidR="00C173F8" w:rsidRPr="00C173F8" w:rsidRDefault="00C173F8" w:rsidP="00C173F8">
            <w:pPr>
              <w:pStyle w:val="B1"/>
              <w:rPr>
                <w:rFonts w:ascii="Times New Roman" w:hAnsi="Times New Roman" w:cs="Times New Roman"/>
                <w:i/>
                <w:iCs/>
                <w:sz w:val="22"/>
              </w:rPr>
            </w:pPr>
            <w:r w:rsidRPr="00C173F8">
              <w:rPr>
                <w:rFonts w:ascii="Times New Roman" w:hAnsi="Times New Roman" w:cs="Times New Roman"/>
                <w:i/>
                <w:iCs/>
                <w:sz w:val="22"/>
              </w:rPr>
              <w:t>-</w:t>
            </w:r>
            <w:r w:rsidRPr="00C173F8">
              <w:rPr>
                <w:rFonts w:ascii="Times New Roman" w:hAnsi="Times New Roman" w:cs="Times New Roman"/>
                <w:i/>
                <w:iCs/>
                <w:sz w:val="22"/>
              </w:rPr>
              <w:tab/>
              <w:t xml:space="preserve">DL synchronization enhancements: A single solution will be selected </w:t>
            </w:r>
            <w:proofErr w:type="gramStart"/>
            <w:r w:rsidRPr="00C173F8">
              <w:rPr>
                <w:rFonts w:ascii="Times New Roman" w:hAnsi="Times New Roman" w:cs="Times New Roman"/>
                <w:i/>
                <w:iCs/>
                <w:sz w:val="22"/>
              </w:rPr>
              <w:t>between:</w:t>
            </w:r>
            <w:proofErr w:type="gramEnd"/>
            <w:r w:rsidRPr="00C173F8">
              <w:rPr>
                <w:rFonts w:ascii="Times New Roman" w:hAnsi="Times New Roman" w:cs="Times New Roman"/>
                <w:i/>
                <w:iCs/>
                <w:sz w:val="22"/>
              </w:rPr>
              <w:t xml:space="preserve"> new channel raster, (part of) ARFCN-indication-in-MIB. </w:t>
            </w:r>
          </w:p>
          <w:p w14:paraId="610988A9" w14:textId="31D4EC00" w:rsidR="00C173F8" w:rsidRPr="00C173F8" w:rsidRDefault="00C173F8" w:rsidP="00C173F8">
            <w:pPr>
              <w:pStyle w:val="B1"/>
              <w:rPr>
                <w:rFonts w:ascii="Times New Roman" w:hAnsi="Times New Roman" w:cs="Times New Roman"/>
                <w:i/>
                <w:iCs/>
                <w:sz w:val="22"/>
              </w:rPr>
            </w:pPr>
            <w:r w:rsidRPr="00C173F8">
              <w:rPr>
                <w:rFonts w:ascii="Times New Roman" w:hAnsi="Times New Roman" w:cs="Times New Roman"/>
                <w:i/>
                <w:iCs/>
                <w:sz w:val="22"/>
              </w:rPr>
              <w:t>-</w:t>
            </w:r>
            <w:r w:rsidRPr="00C173F8">
              <w:rPr>
                <w:rFonts w:ascii="Times New Roman" w:hAnsi="Times New Roman" w:cs="Times New Roman"/>
                <w:i/>
                <w:iCs/>
                <w:sz w:val="22"/>
              </w:rPr>
              <w:tab/>
              <w:t>GNSS Measurements: Validity of a GNSS position fix and details of acquiring a GNSS position fix, duration of validity, in RRC CONNECTED mode for sporadic short transmission</w:t>
            </w:r>
          </w:p>
        </w:tc>
      </w:tr>
    </w:tbl>
    <w:p w14:paraId="40D39138" w14:textId="77777777" w:rsidR="00C173F8" w:rsidRPr="00C173F8" w:rsidRDefault="00C173F8" w:rsidP="00C173F8">
      <w:pPr>
        <w:rPr>
          <w:rFonts w:ascii="Arial" w:hAnsi="Arial" w:cs="Arial"/>
          <w:iCs/>
        </w:rPr>
      </w:pPr>
    </w:p>
    <w:p w14:paraId="29E8FE45" w14:textId="4BC46134" w:rsidR="003447E3" w:rsidRPr="00863E2D" w:rsidRDefault="003447E3" w:rsidP="005A500F">
      <w:pPr>
        <w:jc w:val="both"/>
        <w:rPr>
          <w:rFonts w:ascii="Arial" w:hAnsi="Arial" w:cs="Arial"/>
        </w:rPr>
      </w:pPr>
      <w:r>
        <w:rPr>
          <w:rFonts w:ascii="Arial" w:hAnsi="Arial" w:cs="Arial"/>
        </w:rPr>
        <w:t xml:space="preserve">In this contribution, we discuss on </w:t>
      </w:r>
      <w:r w:rsidR="00C173F8">
        <w:rPr>
          <w:rFonts w:ascii="Arial" w:hAnsi="Arial" w:cs="Arial"/>
        </w:rPr>
        <w:t>time/frequency synchronization issues for IoT-NTN based on the WID scope.</w:t>
      </w:r>
    </w:p>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lastRenderedPageBreak/>
        <w:t>Discussion</w:t>
      </w:r>
    </w:p>
    <w:p w14:paraId="4C44EF5A" w14:textId="481EBA18" w:rsidR="00863E2D" w:rsidRDefault="00863E2D" w:rsidP="00820CC3">
      <w:pPr>
        <w:spacing w:after="120" w:line="276" w:lineRule="auto"/>
        <w:jc w:val="both"/>
        <w:rPr>
          <w:rFonts w:ascii="Arial" w:hAnsi="Arial" w:cs="Arial"/>
          <w:b/>
          <w:bCs/>
          <w:highlight w:val="yellow"/>
          <w:u w:val="single"/>
        </w:rPr>
      </w:pPr>
    </w:p>
    <w:p w14:paraId="78653D81" w14:textId="77777777" w:rsidR="006B339C" w:rsidRPr="0046112C" w:rsidRDefault="006B339C" w:rsidP="006B339C">
      <w:pPr>
        <w:spacing w:after="120" w:line="276" w:lineRule="auto"/>
        <w:jc w:val="both"/>
        <w:rPr>
          <w:rFonts w:ascii="Arial" w:hAnsi="Arial" w:cs="Arial"/>
          <w:b/>
          <w:bCs/>
          <w:u w:val="single"/>
        </w:rPr>
      </w:pPr>
      <w:r>
        <w:rPr>
          <w:rFonts w:ascii="Arial" w:hAnsi="Arial" w:cs="Arial"/>
          <w:b/>
          <w:bCs/>
          <w:u w:val="single"/>
        </w:rPr>
        <w:t>Long PUSCH and PRACH Tx enhancement</w:t>
      </w:r>
    </w:p>
    <w:p w14:paraId="38C22035" w14:textId="6479158C" w:rsidR="00AD14C0" w:rsidRDefault="00AD14C0" w:rsidP="00820CC3">
      <w:pPr>
        <w:spacing w:after="120" w:line="276" w:lineRule="auto"/>
        <w:jc w:val="both"/>
        <w:rPr>
          <w:rFonts w:ascii="Arial" w:hAnsi="Arial" w:cs="Arial"/>
        </w:rPr>
      </w:pPr>
      <w:r w:rsidRPr="00AD14C0">
        <w:rPr>
          <w:rFonts w:ascii="Arial" w:hAnsi="Arial" w:cs="Arial"/>
        </w:rPr>
        <w:t>During SI phase,</w:t>
      </w:r>
      <w:r>
        <w:rPr>
          <w:rFonts w:ascii="Arial" w:hAnsi="Arial" w:cs="Arial"/>
        </w:rPr>
        <w:t xml:space="preserve"> RAN1 has agreed that UE pre-compensation done per N time units (i.e., segment) for long PUSCH/PRACH is baseline solution and the pre-compensation does not vary within a block of N time unit. However, the definition of N time unit has not been agreed yet. In addition, whether a new UL gap </w:t>
      </w:r>
      <w:proofErr w:type="gramStart"/>
      <w:r>
        <w:rPr>
          <w:rFonts w:ascii="Arial" w:hAnsi="Arial" w:cs="Arial"/>
        </w:rPr>
        <w:t>has to</w:t>
      </w:r>
      <w:proofErr w:type="gramEnd"/>
      <w:r>
        <w:rPr>
          <w:rFonts w:ascii="Arial" w:hAnsi="Arial" w:cs="Arial"/>
        </w:rPr>
        <w:t xml:space="preserve"> be used between adjacent segments.</w:t>
      </w:r>
    </w:p>
    <w:p w14:paraId="4E7EDBD3" w14:textId="60E030E6" w:rsidR="00AE5D1B" w:rsidRDefault="00AD14C0" w:rsidP="00820CC3">
      <w:pPr>
        <w:spacing w:after="120" w:line="276" w:lineRule="auto"/>
        <w:jc w:val="both"/>
        <w:rPr>
          <w:rFonts w:ascii="Arial" w:hAnsi="Arial" w:cs="Arial"/>
        </w:rPr>
      </w:pPr>
      <w:r>
        <w:rPr>
          <w:rFonts w:ascii="Arial" w:hAnsi="Arial" w:cs="Arial"/>
        </w:rPr>
        <w:t xml:space="preserve">The UE pre-compensation is to adjust TA autonomously during an ongoing repetition period </w:t>
      </w:r>
      <w:r w:rsidR="00AE5D1B">
        <w:rPr>
          <w:rFonts w:ascii="Arial" w:hAnsi="Arial" w:cs="Arial"/>
        </w:rPr>
        <w:t>which has not been allowed in current specification. Therefore, it has been agreed that a specification change is needed for UL transmission when R&gt;1.</w:t>
      </w:r>
    </w:p>
    <w:p w14:paraId="0A39BCF1" w14:textId="7537772C" w:rsidR="006A4EE5" w:rsidRDefault="00AE5D1B" w:rsidP="00820CC3">
      <w:pPr>
        <w:spacing w:after="120" w:line="276" w:lineRule="auto"/>
        <w:jc w:val="both"/>
        <w:rPr>
          <w:rFonts w:ascii="Arial" w:hAnsi="Arial" w:cs="Arial"/>
        </w:rPr>
      </w:pPr>
      <w:r>
        <w:rPr>
          <w:rFonts w:ascii="Arial" w:hAnsi="Arial" w:cs="Arial"/>
        </w:rPr>
        <w:t xml:space="preserve">As pre-compensation is done per N time unit during which </w:t>
      </w:r>
      <w:r w:rsidR="001E04EE">
        <w:rPr>
          <w:rFonts w:ascii="Arial" w:hAnsi="Arial" w:cs="Arial"/>
        </w:rPr>
        <w:t xml:space="preserve">pre-compensation doesn’t vary, the segment </w:t>
      </w:r>
      <w:proofErr w:type="gramStart"/>
      <w:r w:rsidR="001E04EE">
        <w:rPr>
          <w:rFonts w:ascii="Arial" w:hAnsi="Arial" w:cs="Arial"/>
        </w:rPr>
        <w:t>has to</w:t>
      </w:r>
      <w:proofErr w:type="gramEnd"/>
      <w:r w:rsidR="001E04EE">
        <w:rPr>
          <w:rFonts w:ascii="Arial" w:hAnsi="Arial" w:cs="Arial"/>
        </w:rPr>
        <w:t xml:space="preserve"> align</w:t>
      </w:r>
      <w:r w:rsidR="00E40485">
        <w:rPr>
          <w:rFonts w:ascii="Arial" w:hAnsi="Arial" w:cs="Arial"/>
        </w:rPr>
        <w:t xml:space="preserve"> with</w:t>
      </w:r>
      <w:r w:rsidR="001E04EE">
        <w:rPr>
          <w:rFonts w:ascii="Arial" w:hAnsi="Arial" w:cs="Arial"/>
        </w:rPr>
        <w:t xml:space="preserve"> at least coherence duration</w:t>
      </w:r>
      <w:r w:rsidR="006A4EE5">
        <w:rPr>
          <w:rFonts w:ascii="Arial" w:hAnsi="Arial" w:cs="Arial"/>
        </w:rPr>
        <w:t xml:space="preserve"> and short enough to minimize impact of phase discontinuities between adjacent subframes</w:t>
      </w:r>
      <w:r w:rsidR="00E50549">
        <w:rPr>
          <w:rFonts w:ascii="Arial" w:hAnsi="Arial" w:cs="Arial"/>
        </w:rPr>
        <w:t>. Note that phase discontinuity issue was discussed in RAN1 #105-</w:t>
      </w:r>
      <w:proofErr w:type="gramStart"/>
      <w:r w:rsidR="00E50549">
        <w:rPr>
          <w:rFonts w:ascii="Arial" w:hAnsi="Arial" w:cs="Arial"/>
        </w:rPr>
        <w:t>e</w:t>
      </w:r>
      <w:proofErr w:type="gramEnd"/>
      <w:r w:rsidR="00E50549">
        <w:rPr>
          <w:rFonts w:ascii="Arial" w:hAnsi="Arial" w:cs="Arial"/>
        </w:rPr>
        <w:t xml:space="preserve"> and its severity is dependent on segment size and drift rate. Therefore, by defining the segment size short enough to keep the phase discontinuity within tolerable amount, the phase discontinuity issue can be addressed.</w:t>
      </w:r>
    </w:p>
    <w:p w14:paraId="72813FCD" w14:textId="6BE3C8B2" w:rsidR="00E50549" w:rsidRDefault="00E50549" w:rsidP="00820CC3">
      <w:pPr>
        <w:spacing w:after="120" w:line="276" w:lineRule="auto"/>
        <w:jc w:val="both"/>
        <w:rPr>
          <w:rFonts w:ascii="Arial" w:hAnsi="Arial" w:cs="Arial"/>
        </w:rPr>
      </w:pPr>
      <w:r>
        <w:rPr>
          <w:rFonts w:ascii="Arial" w:hAnsi="Arial" w:cs="Arial"/>
        </w:rPr>
        <w:t xml:space="preserve">Since a UE may </w:t>
      </w:r>
      <w:r w:rsidR="00722E06">
        <w:rPr>
          <w:rFonts w:ascii="Arial" w:hAnsi="Arial" w:cs="Arial"/>
        </w:rPr>
        <w:t>use the UE-specific TA estimation based on GNSS and ephemeris information or timing/frequency drift rate to calculate UL timing/frequency pre-compensation value, the UE can perform UE pre-compensation per subframe which seems to be the shortest segment with minimum impact on phase discontinuity.</w:t>
      </w:r>
      <w:r w:rsidR="003D34A5">
        <w:rPr>
          <w:rFonts w:ascii="Arial" w:hAnsi="Arial" w:cs="Arial"/>
        </w:rPr>
        <w:t xml:space="preserve"> In this case, a new UL gap doesn’t seem to be needed.</w:t>
      </w:r>
    </w:p>
    <w:p w14:paraId="13C0D28E" w14:textId="084F2C4F" w:rsidR="00AE5D1B" w:rsidRDefault="00A74ACD" w:rsidP="00820CC3">
      <w:pPr>
        <w:spacing w:after="120" w:line="276" w:lineRule="auto"/>
        <w:jc w:val="both"/>
        <w:rPr>
          <w:rFonts w:ascii="Arial" w:hAnsi="Arial" w:cs="Arial"/>
        </w:rPr>
      </w:pPr>
      <w:r>
        <w:rPr>
          <w:rFonts w:ascii="Arial" w:hAnsi="Arial" w:cs="Arial"/>
        </w:rPr>
        <w:t xml:space="preserve">In order to allow UL pre-compensation per subframe, the restriction has </w:t>
      </w:r>
      <w:proofErr w:type="gramStart"/>
      <w:r>
        <w:rPr>
          <w:rFonts w:ascii="Arial" w:hAnsi="Arial" w:cs="Arial"/>
        </w:rPr>
        <w:t>be</w:t>
      </w:r>
      <w:proofErr w:type="gramEnd"/>
      <w:r>
        <w:rPr>
          <w:rFonts w:ascii="Arial" w:hAnsi="Arial" w:cs="Arial"/>
        </w:rPr>
        <w:t xml:space="preserve"> relaxed that adjusting TA is allowed during an ongoing repetition period per subframe.</w:t>
      </w:r>
    </w:p>
    <w:p w14:paraId="717E820B" w14:textId="4E691CA4" w:rsidR="00991A5B" w:rsidRPr="008C6337" w:rsidRDefault="00991A5B" w:rsidP="00991A5B">
      <w:pPr>
        <w:spacing w:after="120" w:line="276" w:lineRule="auto"/>
        <w:jc w:val="both"/>
        <w:rPr>
          <w:rFonts w:ascii="Arial" w:hAnsi="Arial" w:cs="Arial"/>
          <w:i/>
          <w:iCs/>
        </w:rPr>
      </w:pPr>
      <w:r w:rsidRPr="008C6337">
        <w:rPr>
          <w:rFonts w:ascii="Arial" w:hAnsi="Arial" w:cs="Arial"/>
          <w:b/>
          <w:bCs/>
          <w:i/>
          <w:iCs/>
        </w:rPr>
        <w:t>Proposal-</w:t>
      </w:r>
      <w:r w:rsidR="001E04EE">
        <w:rPr>
          <w:rFonts w:ascii="Arial" w:hAnsi="Arial" w:cs="Arial"/>
          <w:b/>
          <w:bCs/>
          <w:i/>
          <w:iCs/>
        </w:rPr>
        <w:t>1</w:t>
      </w:r>
      <w:r w:rsidRPr="008C6337">
        <w:rPr>
          <w:rFonts w:ascii="Arial" w:hAnsi="Arial" w:cs="Arial"/>
          <w:b/>
          <w:bCs/>
          <w:i/>
          <w:iCs/>
        </w:rPr>
        <w:t>:</w:t>
      </w:r>
      <w:r w:rsidRPr="008C6337">
        <w:rPr>
          <w:rFonts w:ascii="Arial" w:hAnsi="Arial" w:cs="Arial"/>
          <w:i/>
          <w:iCs/>
        </w:rPr>
        <w:t xml:space="preserve"> </w:t>
      </w:r>
      <w:r w:rsidR="003D34A5">
        <w:rPr>
          <w:rFonts w:ascii="Arial" w:hAnsi="Arial" w:cs="Arial"/>
          <w:i/>
          <w:iCs/>
        </w:rPr>
        <w:t xml:space="preserve">Support </w:t>
      </w:r>
      <w:r w:rsidR="00AE5D1B">
        <w:rPr>
          <w:rFonts w:ascii="Arial" w:hAnsi="Arial" w:cs="Arial"/>
          <w:i/>
          <w:iCs/>
        </w:rPr>
        <w:t xml:space="preserve">N=1 subframe and no new UL gap </w:t>
      </w:r>
      <w:r w:rsidR="00CB10D5">
        <w:rPr>
          <w:rFonts w:ascii="Arial" w:hAnsi="Arial" w:cs="Arial"/>
          <w:i/>
          <w:iCs/>
        </w:rPr>
        <w:t>for segmented UL transmission.</w:t>
      </w:r>
    </w:p>
    <w:p w14:paraId="5B2A0818" w14:textId="77777777" w:rsidR="00B60F55" w:rsidRPr="00B60F55" w:rsidRDefault="00B60F55" w:rsidP="00820CC3">
      <w:pPr>
        <w:spacing w:after="120" w:line="276" w:lineRule="auto"/>
        <w:jc w:val="both"/>
        <w:rPr>
          <w:rFonts w:ascii="Arial" w:hAnsi="Arial" w:cs="Arial"/>
        </w:rPr>
      </w:pPr>
    </w:p>
    <w:p w14:paraId="6BE0CBDC" w14:textId="3D24C865" w:rsidR="00822D5B" w:rsidRPr="0046112C" w:rsidRDefault="00822D5B" w:rsidP="00822D5B">
      <w:pPr>
        <w:spacing w:after="120" w:line="276" w:lineRule="auto"/>
        <w:jc w:val="both"/>
        <w:rPr>
          <w:rFonts w:ascii="Arial" w:hAnsi="Arial" w:cs="Arial"/>
          <w:b/>
          <w:bCs/>
          <w:u w:val="single"/>
        </w:rPr>
      </w:pPr>
      <w:r>
        <w:rPr>
          <w:rFonts w:ascii="Arial" w:hAnsi="Arial" w:cs="Arial"/>
          <w:b/>
          <w:bCs/>
          <w:u w:val="single"/>
        </w:rPr>
        <w:t>Validity timer for satellite ephemeris</w:t>
      </w:r>
    </w:p>
    <w:p w14:paraId="5E69651F" w14:textId="5030C52D" w:rsidR="00870D60" w:rsidRDefault="00E40485" w:rsidP="00820CC3">
      <w:pPr>
        <w:spacing w:after="120" w:line="276" w:lineRule="auto"/>
        <w:jc w:val="both"/>
        <w:rPr>
          <w:rFonts w:ascii="Arial" w:hAnsi="Arial" w:cs="Arial"/>
        </w:rPr>
      </w:pPr>
      <w:r>
        <w:rPr>
          <w:rFonts w:ascii="Arial" w:hAnsi="Arial" w:cs="Arial"/>
        </w:rPr>
        <w:t xml:space="preserve">A UE could predict satellite location </w:t>
      </w:r>
      <w:r w:rsidR="005575B1">
        <w:rPr>
          <w:rFonts w:ascii="Arial" w:hAnsi="Arial" w:cs="Arial"/>
        </w:rPr>
        <w:t>if the UE has a valid</w:t>
      </w:r>
      <w:r>
        <w:rPr>
          <w:rFonts w:ascii="Arial" w:hAnsi="Arial" w:cs="Arial"/>
        </w:rPr>
        <w:t xml:space="preserve"> ephemeris information</w:t>
      </w:r>
      <w:r w:rsidR="005575B1">
        <w:rPr>
          <w:rFonts w:ascii="Arial" w:hAnsi="Arial" w:cs="Arial"/>
        </w:rPr>
        <w:t xml:space="preserve"> stored in its memory. Therefore, a UE doesn’t need to re-acquire the satellite ephemeris in each SIB occasion where satellite ephemeris is transmitted if the UE still has valid ephemeris information, which seems to be beneficial for a UE especially when the UE is in RRC_IDLE state in terms of battery saving.</w:t>
      </w:r>
      <w:r w:rsidR="00870D60">
        <w:rPr>
          <w:rFonts w:ascii="Arial" w:hAnsi="Arial" w:cs="Arial"/>
        </w:rPr>
        <w:t xml:space="preserve"> The validity duration is dependent on a couple of factors including satellite characteristics, atmospheric drag, etc. Therefore, the validity duration can be estimated at the network side.</w:t>
      </w:r>
    </w:p>
    <w:p w14:paraId="0649CBB6" w14:textId="44F9E32A" w:rsidR="00870D60" w:rsidRDefault="00870D60" w:rsidP="00820CC3">
      <w:pPr>
        <w:spacing w:after="120" w:line="276" w:lineRule="auto"/>
        <w:jc w:val="both"/>
        <w:rPr>
          <w:rFonts w:ascii="Arial" w:hAnsi="Arial" w:cs="Arial"/>
        </w:rPr>
      </w:pPr>
      <w:r>
        <w:rPr>
          <w:rFonts w:ascii="Arial" w:hAnsi="Arial" w:cs="Arial"/>
        </w:rPr>
        <w:t xml:space="preserve">Indication of validity time in SIB together with satellite ephemeris seems to be the simplest way to support such a UE behavior and the network transmits satellite ephemeris frequent enough for a UE to reacquire satellite ephemeris whenever the UE wake up from long </w:t>
      </w:r>
      <w:proofErr w:type="spellStart"/>
      <w:r>
        <w:rPr>
          <w:rFonts w:ascii="Arial" w:hAnsi="Arial" w:cs="Arial"/>
        </w:rPr>
        <w:t>eDRX</w:t>
      </w:r>
      <w:proofErr w:type="spellEnd"/>
      <w:r>
        <w:rPr>
          <w:rFonts w:ascii="Arial" w:hAnsi="Arial" w:cs="Arial"/>
        </w:rPr>
        <w:t xml:space="preserve"> cycle before the validity timer expires.</w:t>
      </w:r>
    </w:p>
    <w:p w14:paraId="11DE3E98" w14:textId="2D4AEB37" w:rsidR="00822D5B" w:rsidRPr="008C6337" w:rsidRDefault="00822D5B" w:rsidP="00822D5B">
      <w:pPr>
        <w:spacing w:after="120" w:line="276" w:lineRule="auto"/>
        <w:jc w:val="both"/>
        <w:rPr>
          <w:rFonts w:ascii="Arial" w:hAnsi="Arial" w:cs="Arial"/>
          <w:i/>
          <w:iCs/>
        </w:rPr>
      </w:pPr>
      <w:r w:rsidRPr="008C6337">
        <w:rPr>
          <w:rFonts w:ascii="Arial" w:hAnsi="Arial" w:cs="Arial"/>
          <w:b/>
          <w:bCs/>
          <w:i/>
          <w:iCs/>
        </w:rPr>
        <w:t>Proposal-</w:t>
      </w:r>
      <w:r w:rsidR="00CB10D5">
        <w:rPr>
          <w:rFonts w:ascii="Arial" w:hAnsi="Arial" w:cs="Arial"/>
          <w:b/>
          <w:bCs/>
          <w:i/>
          <w:iCs/>
        </w:rPr>
        <w:t>2</w:t>
      </w:r>
      <w:r w:rsidRPr="008C6337">
        <w:rPr>
          <w:rFonts w:ascii="Arial" w:hAnsi="Arial" w:cs="Arial"/>
          <w:b/>
          <w:bCs/>
          <w:i/>
          <w:iCs/>
        </w:rPr>
        <w:t>:</w:t>
      </w:r>
      <w:r w:rsidRPr="008C6337">
        <w:rPr>
          <w:rFonts w:ascii="Arial" w:hAnsi="Arial" w:cs="Arial"/>
          <w:i/>
          <w:iCs/>
        </w:rPr>
        <w:t xml:space="preserve"> </w:t>
      </w:r>
      <w:r w:rsidR="00CB10D5">
        <w:rPr>
          <w:rFonts w:ascii="Arial" w:hAnsi="Arial" w:cs="Arial"/>
          <w:i/>
          <w:iCs/>
        </w:rPr>
        <w:t>V</w:t>
      </w:r>
      <w:r w:rsidR="001E04EE">
        <w:rPr>
          <w:rFonts w:ascii="Arial" w:hAnsi="Arial" w:cs="Arial"/>
          <w:i/>
          <w:iCs/>
        </w:rPr>
        <w:t>alidity timer for satellite ephemeris is configured by network and UE needs to re-acquire the satellite ephemeris before the timer expires</w:t>
      </w:r>
      <w:r w:rsidR="00CB10D5">
        <w:rPr>
          <w:rFonts w:ascii="Arial" w:hAnsi="Arial" w:cs="Arial"/>
          <w:i/>
          <w:iCs/>
        </w:rPr>
        <w:t>.</w:t>
      </w:r>
    </w:p>
    <w:p w14:paraId="24241CCA" w14:textId="1871339F" w:rsidR="00B60F55" w:rsidRDefault="00B60F55" w:rsidP="00820CC3">
      <w:pPr>
        <w:spacing w:after="120" w:line="276" w:lineRule="auto"/>
        <w:jc w:val="both"/>
        <w:rPr>
          <w:rFonts w:ascii="Arial" w:hAnsi="Arial" w:cs="Arial"/>
          <w:highlight w:val="yellow"/>
        </w:rPr>
      </w:pPr>
    </w:p>
    <w:p w14:paraId="37346612" w14:textId="77777777" w:rsidR="00B60F55" w:rsidRPr="0046112C" w:rsidRDefault="00B60F55" w:rsidP="00B60F55">
      <w:pPr>
        <w:spacing w:after="120" w:line="276" w:lineRule="auto"/>
        <w:jc w:val="both"/>
        <w:rPr>
          <w:rFonts w:ascii="Arial" w:hAnsi="Arial" w:cs="Arial"/>
          <w:b/>
          <w:bCs/>
          <w:u w:val="single"/>
        </w:rPr>
      </w:pPr>
      <w:r w:rsidRPr="0046112C">
        <w:rPr>
          <w:rFonts w:ascii="Arial" w:hAnsi="Arial" w:cs="Arial"/>
          <w:b/>
          <w:bCs/>
          <w:u w:val="single"/>
        </w:rPr>
        <w:lastRenderedPageBreak/>
        <w:t>Satellite ephemeris format</w:t>
      </w:r>
    </w:p>
    <w:p w14:paraId="703C8BD7" w14:textId="613E72E7" w:rsidR="00B60F55" w:rsidRPr="008C6337" w:rsidRDefault="00B60F55" w:rsidP="00B60F55">
      <w:pPr>
        <w:spacing w:after="120" w:line="276" w:lineRule="auto"/>
        <w:jc w:val="both"/>
        <w:rPr>
          <w:rFonts w:ascii="Arial" w:hAnsi="Arial" w:cs="Arial"/>
        </w:rPr>
      </w:pPr>
      <w:r>
        <w:rPr>
          <w:rFonts w:ascii="Arial" w:hAnsi="Arial" w:cs="Arial"/>
        </w:rPr>
        <w:t xml:space="preserve">In NR NTN, it has been agreed to support both ephemeris formats (i.e., state vectors and orbital elements) to optimize the signaling overhead as well as </w:t>
      </w:r>
      <w:r w:rsidR="008C6337">
        <w:rPr>
          <w:rFonts w:ascii="Arial" w:hAnsi="Arial" w:cs="Arial"/>
        </w:rPr>
        <w:t xml:space="preserve">to </w:t>
      </w:r>
      <w:r>
        <w:rPr>
          <w:rFonts w:ascii="Arial" w:hAnsi="Arial" w:cs="Arial"/>
        </w:rPr>
        <w:t xml:space="preserve">support different NTN </w:t>
      </w:r>
      <w:r w:rsidR="008C6337">
        <w:rPr>
          <w:rFonts w:ascii="Arial" w:hAnsi="Arial" w:cs="Arial"/>
        </w:rPr>
        <w:t xml:space="preserve">deployment </w:t>
      </w:r>
      <w:r>
        <w:rPr>
          <w:rFonts w:ascii="Arial" w:hAnsi="Arial" w:cs="Arial"/>
        </w:rPr>
        <w:t>scenario</w:t>
      </w:r>
      <w:r w:rsidR="008C6337">
        <w:rPr>
          <w:rFonts w:ascii="Arial" w:hAnsi="Arial" w:cs="Arial"/>
        </w:rPr>
        <w:t>s</w:t>
      </w:r>
      <w:r>
        <w:rPr>
          <w:rFonts w:ascii="Arial" w:hAnsi="Arial" w:cs="Arial"/>
        </w:rPr>
        <w:t xml:space="preserve"> (e.g., GEO, LEO, HAPS).</w:t>
      </w:r>
      <w:r w:rsidR="008C6337">
        <w:rPr>
          <w:rFonts w:ascii="Arial" w:hAnsi="Arial" w:cs="Arial"/>
        </w:rPr>
        <w:t xml:space="preserve"> Although it is still FFS which ephemeris format is used in which NTN deployment scenario, IoT-NTN may follow the same mechanism as in NR NTN since the NTN deployment scenario for IoT-NTN is not much different from that for NR NTN. Therefore, the ephemeris format indication mechanism used for NR NTN can be reused for IoT-NTN</w:t>
      </w:r>
    </w:p>
    <w:p w14:paraId="49D6241E" w14:textId="7E106ED6" w:rsidR="00B60F55" w:rsidRPr="008C6337" w:rsidRDefault="008C6337" w:rsidP="00820CC3">
      <w:pPr>
        <w:spacing w:after="120" w:line="276" w:lineRule="auto"/>
        <w:jc w:val="both"/>
        <w:rPr>
          <w:rFonts w:ascii="Arial" w:hAnsi="Arial" w:cs="Arial"/>
          <w:i/>
          <w:iCs/>
        </w:rPr>
      </w:pPr>
      <w:r w:rsidRPr="008C6337">
        <w:rPr>
          <w:rFonts w:ascii="Arial" w:hAnsi="Arial" w:cs="Arial"/>
          <w:b/>
          <w:bCs/>
          <w:i/>
          <w:iCs/>
        </w:rPr>
        <w:t>Proposal-</w:t>
      </w:r>
      <w:r w:rsidR="00CB10D5">
        <w:rPr>
          <w:rFonts w:ascii="Arial" w:hAnsi="Arial" w:cs="Arial"/>
          <w:b/>
          <w:bCs/>
          <w:i/>
          <w:iCs/>
        </w:rPr>
        <w:t>3</w:t>
      </w:r>
      <w:r w:rsidRPr="008C6337">
        <w:rPr>
          <w:rFonts w:ascii="Arial" w:hAnsi="Arial" w:cs="Arial"/>
          <w:b/>
          <w:bCs/>
          <w:i/>
          <w:iCs/>
        </w:rPr>
        <w:t>:</w:t>
      </w:r>
      <w:r w:rsidRPr="008C6337">
        <w:rPr>
          <w:rFonts w:ascii="Arial" w:hAnsi="Arial" w:cs="Arial"/>
          <w:i/>
          <w:iCs/>
        </w:rPr>
        <w:t xml:space="preserve"> Ephemeris format indication mechanism used for NR NTN is reused for IoT-NTN</w:t>
      </w:r>
      <w:r w:rsidR="00CB10D5">
        <w:rPr>
          <w:rFonts w:ascii="Arial" w:hAnsi="Arial" w:cs="Arial"/>
          <w:i/>
          <w:iCs/>
        </w:rPr>
        <w:t>.</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00DCE8FF"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F93D43">
        <w:rPr>
          <w:rFonts w:ascii="Arial" w:hAnsi="Arial" w:cs="Arial"/>
        </w:rPr>
        <w:t xml:space="preserve">time and frequency synchronization </w:t>
      </w:r>
      <w:r w:rsidR="0050017F">
        <w:rPr>
          <w:rFonts w:ascii="Arial" w:hAnsi="Arial" w:cs="Arial"/>
        </w:rPr>
        <w:t>for IoT NTN. Based on the discussion, we propose following</w:t>
      </w:r>
      <w:r w:rsidR="00CB0932">
        <w:rPr>
          <w:rFonts w:ascii="Arial" w:hAnsi="Arial" w:cs="Arial"/>
        </w:rPr>
        <w:t>:</w:t>
      </w:r>
      <w:r w:rsidRPr="008924A3">
        <w:rPr>
          <w:rFonts w:ascii="Arial" w:hAnsi="Arial" w:cs="Arial"/>
        </w:rPr>
        <w:t xml:space="preserve"> </w:t>
      </w:r>
    </w:p>
    <w:p w14:paraId="17484F94" w14:textId="77777777" w:rsidR="00870D60" w:rsidRPr="008C6337" w:rsidRDefault="00870D60" w:rsidP="00870D60">
      <w:pPr>
        <w:spacing w:after="120" w:line="276" w:lineRule="auto"/>
        <w:jc w:val="both"/>
        <w:rPr>
          <w:rFonts w:ascii="Arial" w:hAnsi="Arial" w:cs="Arial"/>
          <w:i/>
          <w:iCs/>
        </w:rPr>
      </w:pPr>
      <w:r w:rsidRPr="008C6337">
        <w:rPr>
          <w:rFonts w:ascii="Arial" w:hAnsi="Arial" w:cs="Arial"/>
          <w:b/>
          <w:bCs/>
          <w:i/>
          <w:iCs/>
        </w:rPr>
        <w:t>Proposal-</w:t>
      </w:r>
      <w:r>
        <w:rPr>
          <w:rFonts w:ascii="Arial" w:hAnsi="Arial" w:cs="Arial"/>
          <w:b/>
          <w:bCs/>
          <w:i/>
          <w:iCs/>
        </w:rPr>
        <w:t>1</w:t>
      </w:r>
      <w:r w:rsidRPr="008C6337">
        <w:rPr>
          <w:rFonts w:ascii="Arial" w:hAnsi="Arial" w:cs="Arial"/>
          <w:b/>
          <w:bCs/>
          <w:i/>
          <w:iCs/>
        </w:rPr>
        <w:t>:</w:t>
      </w:r>
      <w:r w:rsidRPr="008C6337">
        <w:rPr>
          <w:rFonts w:ascii="Arial" w:hAnsi="Arial" w:cs="Arial"/>
          <w:i/>
          <w:iCs/>
        </w:rPr>
        <w:t xml:space="preserve"> </w:t>
      </w:r>
      <w:r>
        <w:rPr>
          <w:rFonts w:ascii="Arial" w:hAnsi="Arial" w:cs="Arial"/>
          <w:i/>
          <w:iCs/>
        </w:rPr>
        <w:t>Support N=1 subframe and no new UL gap for segmented UL transmission.</w:t>
      </w:r>
    </w:p>
    <w:p w14:paraId="5A4CFD3D" w14:textId="77777777" w:rsidR="00CB10D5" w:rsidRPr="008C6337" w:rsidRDefault="00CB10D5" w:rsidP="00CB10D5">
      <w:pPr>
        <w:spacing w:after="120" w:line="276" w:lineRule="auto"/>
        <w:jc w:val="both"/>
        <w:rPr>
          <w:rFonts w:ascii="Arial" w:hAnsi="Arial" w:cs="Arial"/>
          <w:i/>
          <w:iCs/>
        </w:rPr>
      </w:pPr>
      <w:r w:rsidRPr="008C6337">
        <w:rPr>
          <w:rFonts w:ascii="Arial" w:hAnsi="Arial" w:cs="Arial"/>
          <w:b/>
          <w:bCs/>
          <w:i/>
          <w:iCs/>
        </w:rPr>
        <w:t>Proposal-</w:t>
      </w:r>
      <w:r>
        <w:rPr>
          <w:rFonts w:ascii="Arial" w:hAnsi="Arial" w:cs="Arial"/>
          <w:b/>
          <w:bCs/>
          <w:i/>
          <w:iCs/>
        </w:rPr>
        <w:t>2</w:t>
      </w:r>
      <w:r w:rsidRPr="008C6337">
        <w:rPr>
          <w:rFonts w:ascii="Arial" w:hAnsi="Arial" w:cs="Arial"/>
          <w:b/>
          <w:bCs/>
          <w:i/>
          <w:iCs/>
        </w:rPr>
        <w:t>:</w:t>
      </w:r>
      <w:r w:rsidRPr="008C6337">
        <w:rPr>
          <w:rFonts w:ascii="Arial" w:hAnsi="Arial" w:cs="Arial"/>
          <w:i/>
          <w:iCs/>
        </w:rPr>
        <w:t xml:space="preserve"> </w:t>
      </w:r>
      <w:r>
        <w:rPr>
          <w:rFonts w:ascii="Arial" w:hAnsi="Arial" w:cs="Arial"/>
          <w:i/>
          <w:iCs/>
        </w:rPr>
        <w:t>Validity timer for satellite ephemeris is configured by network and UE needs to re-acquire the satellite ephemeris before the timer expires.</w:t>
      </w:r>
    </w:p>
    <w:p w14:paraId="20B4FCA5" w14:textId="2C64EF0B" w:rsidR="00CB10D5" w:rsidRPr="008C6337" w:rsidRDefault="00CB10D5" w:rsidP="00CB10D5">
      <w:pPr>
        <w:spacing w:after="120" w:line="276" w:lineRule="auto"/>
        <w:jc w:val="both"/>
        <w:rPr>
          <w:rFonts w:ascii="Arial" w:hAnsi="Arial" w:cs="Arial"/>
          <w:i/>
          <w:iCs/>
        </w:rPr>
      </w:pPr>
      <w:r w:rsidRPr="008C6337">
        <w:rPr>
          <w:rFonts w:ascii="Arial" w:hAnsi="Arial" w:cs="Arial"/>
          <w:b/>
          <w:bCs/>
          <w:i/>
          <w:iCs/>
        </w:rPr>
        <w:t>Proposal-</w:t>
      </w:r>
      <w:r>
        <w:rPr>
          <w:rFonts w:ascii="Arial" w:hAnsi="Arial" w:cs="Arial"/>
          <w:b/>
          <w:bCs/>
          <w:i/>
          <w:iCs/>
        </w:rPr>
        <w:t>3</w:t>
      </w:r>
      <w:r w:rsidRPr="008C6337">
        <w:rPr>
          <w:rFonts w:ascii="Arial" w:hAnsi="Arial" w:cs="Arial"/>
          <w:b/>
          <w:bCs/>
          <w:i/>
          <w:iCs/>
        </w:rPr>
        <w:t>:</w:t>
      </w:r>
      <w:r w:rsidRPr="008C6337">
        <w:rPr>
          <w:rFonts w:ascii="Arial" w:hAnsi="Arial" w:cs="Arial"/>
          <w:i/>
          <w:iCs/>
        </w:rPr>
        <w:t xml:space="preserve"> Ephemeris format indication mechanism used for NR NTN is reused for IoT-NTN</w:t>
      </w:r>
      <w:r>
        <w:rPr>
          <w:rFonts w:ascii="Arial" w:hAnsi="Arial" w:cs="Arial"/>
          <w:i/>
          <w:iCs/>
        </w:rPr>
        <w:t>.</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256D9BF7" w14:textId="77777777" w:rsidR="00E40485" w:rsidRDefault="00E40485" w:rsidP="00E40485">
      <w:pPr>
        <w:pStyle w:val="Reference"/>
        <w:spacing w:after="120"/>
        <w:jc w:val="both"/>
        <w:rPr>
          <w:rFonts w:ascii="Times New Roman" w:hAnsi="Times New Roman" w:cs="Times New Roman"/>
        </w:rPr>
      </w:pPr>
      <w:r>
        <w:rPr>
          <w:rFonts w:ascii="Times New Roman" w:hAnsi="Times New Roman" w:cs="Times New Roman"/>
        </w:rPr>
        <w:t>RP-211601, WID on NB-IoT/</w:t>
      </w:r>
      <w:proofErr w:type="spellStart"/>
      <w:r>
        <w:rPr>
          <w:rFonts w:ascii="Times New Roman" w:hAnsi="Times New Roman" w:cs="Times New Roman"/>
        </w:rPr>
        <w:t>eMTC</w:t>
      </w:r>
      <w:proofErr w:type="spellEnd"/>
      <w:r>
        <w:rPr>
          <w:rFonts w:ascii="Times New Roman" w:hAnsi="Times New Roman" w:cs="Times New Roman"/>
        </w:rPr>
        <w:t xml:space="preserve"> support for NTN</w:t>
      </w:r>
    </w:p>
    <w:p w14:paraId="130531EF" w14:textId="77777777" w:rsidR="00745259" w:rsidRPr="00416213" w:rsidRDefault="00745259" w:rsidP="00416213">
      <w:pPr>
        <w:pStyle w:val="Reference"/>
        <w:numPr>
          <w:ilvl w:val="0"/>
          <w:numId w:val="0"/>
        </w:numPr>
        <w:spacing w:after="120"/>
        <w:jc w:val="both"/>
        <w:rPr>
          <w:rFonts w:ascii="Times New Roman" w:hAnsi="Times New Roman" w:cs="Times New Roman"/>
        </w:rPr>
      </w:pPr>
    </w:p>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1BD99" w14:textId="77777777" w:rsidR="00C82E63" w:rsidRDefault="00C82E63">
      <w:r>
        <w:separator/>
      </w:r>
    </w:p>
  </w:endnote>
  <w:endnote w:type="continuationSeparator" w:id="0">
    <w:p w14:paraId="31F1CEE9" w14:textId="77777777" w:rsidR="00C82E63" w:rsidRDefault="00C82E63">
      <w:r>
        <w:continuationSeparator/>
      </w:r>
    </w:p>
  </w:endnote>
  <w:endnote w:type="continuationNotice" w:id="1">
    <w:p w14:paraId="0003DE6A" w14:textId="77777777" w:rsidR="00C82E63" w:rsidRDefault="00C82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D1E10" w14:textId="77777777" w:rsidR="00C82E63" w:rsidRDefault="00C82E63">
      <w:r>
        <w:separator/>
      </w:r>
    </w:p>
  </w:footnote>
  <w:footnote w:type="continuationSeparator" w:id="0">
    <w:p w14:paraId="58066EA4" w14:textId="77777777" w:rsidR="00C82E63" w:rsidRDefault="00C82E63">
      <w:r>
        <w:continuationSeparator/>
      </w:r>
    </w:p>
  </w:footnote>
  <w:footnote w:type="continuationNotice" w:id="1">
    <w:p w14:paraId="7667978C" w14:textId="77777777" w:rsidR="00C82E63" w:rsidRDefault="00C82E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0C1E42"/>
    <w:multiLevelType w:val="hybridMultilevel"/>
    <w:tmpl w:val="FD822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934958"/>
    <w:multiLevelType w:val="hybridMultilevel"/>
    <w:tmpl w:val="F1DAF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8" w15:restartNumberingAfterBreak="0">
    <w:nsid w:val="4ABB246A"/>
    <w:multiLevelType w:val="multilevel"/>
    <w:tmpl w:val="4C39649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E57D31"/>
    <w:multiLevelType w:val="hybridMultilevel"/>
    <w:tmpl w:val="4E5C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9"/>
  </w:num>
  <w:num w:numId="3">
    <w:abstractNumId w:val="23"/>
  </w:num>
  <w:num w:numId="4">
    <w:abstractNumId w:val="24"/>
  </w:num>
  <w:num w:numId="5">
    <w:abstractNumId w:val="17"/>
  </w:num>
  <w:num w:numId="6">
    <w:abstractNumId w:val="25"/>
  </w:num>
  <w:num w:numId="7">
    <w:abstractNumId w:val="36"/>
  </w:num>
  <w:num w:numId="8">
    <w:abstractNumId w:val="18"/>
  </w:num>
  <w:num w:numId="9">
    <w:abstractNumId w:val="52"/>
  </w:num>
  <w:num w:numId="10">
    <w:abstractNumId w:val="21"/>
  </w:num>
  <w:num w:numId="11">
    <w:abstractNumId w:val="40"/>
  </w:num>
  <w:num w:numId="12">
    <w:abstractNumId w:val="33"/>
  </w:num>
  <w:num w:numId="13">
    <w:abstractNumId w:val="53"/>
  </w:num>
  <w:num w:numId="14">
    <w:abstractNumId w:val="20"/>
  </w:num>
  <w:num w:numId="15">
    <w:abstractNumId w:val="13"/>
  </w:num>
  <w:num w:numId="16">
    <w:abstractNumId w:val="51"/>
  </w:num>
  <w:num w:numId="17">
    <w:abstractNumId w:val="10"/>
  </w:num>
  <w:num w:numId="18">
    <w:abstractNumId w:val="41"/>
  </w:num>
  <w:num w:numId="19">
    <w:abstractNumId w:val="5"/>
  </w:num>
  <w:num w:numId="20">
    <w:abstractNumId w:val="35"/>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6"/>
  </w:num>
  <w:num w:numId="28">
    <w:abstractNumId w:val="31"/>
  </w:num>
  <w:num w:numId="29">
    <w:abstractNumId w:val="46"/>
  </w:num>
  <w:num w:numId="30">
    <w:abstractNumId w:val="7"/>
  </w:num>
  <w:num w:numId="31">
    <w:abstractNumId w:val="48"/>
  </w:num>
  <w:num w:numId="32">
    <w:abstractNumId w:val="39"/>
  </w:num>
  <w:num w:numId="33">
    <w:abstractNumId w:val="8"/>
  </w:num>
  <w:num w:numId="34">
    <w:abstractNumId w:val="27"/>
  </w:num>
  <w:num w:numId="35">
    <w:abstractNumId w:val="0"/>
  </w:num>
  <w:num w:numId="36">
    <w:abstractNumId w:val="9"/>
  </w:num>
  <w:num w:numId="37">
    <w:abstractNumId w:val="30"/>
  </w:num>
  <w:num w:numId="38">
    <w:abstractNumId w:val="30"/>
  </w:num>
  <w:num w:numId="39">
    <w:abstractNumId w:val="3"/>
  </w:num>
  <w:num w:numId="40">
    <w:abstractNumId w:val="14"/>
  </w:num>
  <w:num w:numId="41">
    <w:abstractNumId w:val="34"/>
  </w:num>
  <w:num w:numId="42">
    <w:abstractNumId w:val="45"/>
  </w:num>
  <w:num w:numId="43">
    <w:abstractNumId w:val="2"/>
  </w:num>
  <w:num w:numId="44">
    <w:abstractNumId w:val="15"/>
  </w:num>
  <w:num w:numId="45">
    <w:abstractNumId w:val="44"/>
  </w:num>
  <w:num w:numId="46">
    <w:abstractNumId w:val="4"/>
  </w:num>
  <w:num w:numId="47">
    <w:abstractNumId w:val="38"/>
  </w:num>
  <w:num w:numId="48">
    <w:abstractNumId w:val="50"/>
  </w:num>
  <w:num w:numId="49">
    <w:abstractNumId w:val="32"/>
  </w:num>
  <w:num w:numId="50">
    <w:abstractNumId w:val="22"/>
  </w:num>
  <w:num w:numId="51">
    <w:abstractNumId w:val="11"/>
  </w:num>
  <w:num w:numId="52">
    <w:abstractNumId w:val="47"/>
  </w:num>
  <w:num w:numId="53">
    <w:abstractNumId w:val="28"/>
  </w:num>
  <w:num w:numId="54">
    <w:abstractNumId w:val="43"/>
  </w:num>
  <w:num w:numId="55">
    <w:abstractNumId w:val="37"/>
  </w:num>
  <w:num w:numId="56">
    <w:abstractNumId w:val="1"/>
  </w:num>
  <w:num w:numId="57">
    <w:abstractNumId w:val="16"/>
  </w:num>
  <w:num w:numId="58">
    <w:abstractNumId w:val="42"/>
  </w:num>
  <w:num w:numId="59">
    <w:abstractNumId w:val="49"/>
  </w:num>
  <w:num w:numId="60">
    <w:abstractNumId w:val="12"/>
  </w:num>
  <w:num w:numId="61">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41A"/>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3A"/>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6A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1E6"/>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D06"/>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14A"/>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4EE"/>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60A"/>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1CC"/>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5D61"/>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6E9A"/>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473D"/>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D7C12"/>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07D89"/>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653A"/>
    <w:rsid w:val="00327382"/>
    <w:rsid w:val="003273A2"/>
    <w:rsid w:val="003275BE"/>
    <w:rsid w:val="003307E0"/>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277"/>
    <w:rsid w:val="0034447A"/>
    <w:rsid w:val="003447E3"/>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8691E"/>
    <w:rsid w:val="00390D95"/>
    <w:rsid w:val="00390FFE"/>
    <w:rsid w:val="003913DB"/>
    <w:rsid w:val="00391638"/>
    <w:rsid w:val="003916B0"/>
    <w:rsid w:val="003918D0"/>
    <w:rsid w:val="00392617"/>
    <w:rsid w:val="003927B8"/>
    <w:rsid w:val="00392D70"/>
    <w:rsid w:val="00393702"/>
    <w:rsid w:val="003939FF"/>
    <w:rsid w:val="00393FE3"/>
    <w:rsid w:val="0039401E"/>
    <w:rsid w:val="003946B1"/>
    <w:rsid w:val="003948F5"/>
    <w:rsid w:val="00394D8D"/>
    <w:rsid w:val="0039520F"/>
    <w:rsid w:val="0039548F"/>
    <w:rsid w:val="00395948"/>
    <w:rsid w:val="00395F42"/>
    <w:rsid w:val="003967CC"/>
    <w:rsid w:val="00396C06"/>
    <w:rsid w:val="00397568"/>
    <w:rsid w:val="00397827"/>
    <w:rsid w:val="003978A8"/>
    <w:rsid w:val="00397B14"/>
    <w:rsid w:val="003A0700"/>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4A5"/>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93E"/>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213"/>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3D3F"/>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12C"/>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D0F"/>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2FCD"/>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1CD5"/>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17F"/>
    <w:rsid w:val="00500362"/>
    <w:rsid w:val="00500B52"/>
    <w:rsid w:val="00500C26"/>
    <w:rsid w:val="005011FB"/>
    <w:rsid w:val="00502124"/>
    <w:rsid w:val="00502401"/>
    <w:rsid w:val="0050268E"/>
    <w:rsid w:val="0050318E"/>
    <w:rsid w:val="0050345C"/>
    <w:rsid w:val="005036A9"/>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23A"/>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5B1"/>
    <w:rsid w:val="005577C0"/>
    <w:rsid w:val="00557DB4"/>
    <w:rsid w:val="00560C31"/>
    <w:rsid w:val="00560CE9"/>
    <w:rsid w:val="0056121F"/>
    <w:rsid w:val="00562E35"/>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16"/>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00F"/>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04D9"/>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1CF"/>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5786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4EE5"/>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39C"/>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4D1B"/>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2E06"/>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259"/>
    <w:rsid w:val="0074545D"/>
    <w:rsid w:val="00746608"/>
    <w:rsid w:val="00746CE2"/>
    <w:rsid w:val="00746EAC"/>
    <w:rsid w:val="007471D5"/>
    <w:rsid w:val="007474A3"/>
    <w:rsid w:val="00747D8B"/>
    <w:rsid w:val="00750BBC"/>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6C0"/>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53A"/>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0CC3"/>
    <w:rsid w:val="008213E6"/>
    <w:rsid w:val="008216C3"/>
    <w:rsid w:val="00821960"/>
    <w:rsid w:val="00821C42"/>
    <w:rsid w:val="00822D5B"/>
    <w:rsid w:val="008235DB"/>
    <w:rsid w:val="008240DA"/>
    <w:rsid w:val="0082461E"/>
    <w:rsid w:val="00824AB4"/>
    <w:rsid w:val="00824F71"/>
    <w:rsid w:val="00825AB5"/>
    <w:rsid w:val="00825C42"/>
    <w:rsid w:val="00825D25"/>
    <w:rsid w:val="00825D9F"/>
    <w:rsid w:val="00825EEF"/>
    <w:rsid w:val="00825F51"/>
    <w:rsid w:val="00826154"/>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2DF6"/>
    <w:rsid w:val="00863363"/>
    <w:rsid w:val="00863537"/>
    <w:rsid w:val="008637D7"/>
    <w:rsid w:val="00863C5D"/>
    <w:rsid w:val="00863D38"/>
    <w:rsid w:val="00863E2D"/>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D60"/>
    <w:rsid w:val="00870F0B"/>
    <w:rsid w:val="00870F8A"/>
    <w:rsid w:val="00871392"/>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37"/>
    <w:rsid w:val="008C636D"/>
    <w:rsid w:val="008C679E"/>
    <w:rsid w:val="008C6AE8"/>
    <w:rsid w:val="008C6EA8"/>
    <w:rsid w:val="008C6FA3"/>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0B6D"/>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7B5"/>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1A89"/>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1A5B"/>
    <w:rsid w:val="0099235B"/>
    <w:rsid w:val="00992C14"/>
    <w:rsid w:val="00992CDF"/>
    <w:rsid w:val="00993321"/>
    <w:rsid w:val="00993D8D"/>
    <w:rsid w:val="00993FA3"/>
    <w:rsid w:val="00994309"/>
    <w:rsid w:val="00994B02"/>
    <w:rsid w:val="00994D39"/>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410"/>
    <w:rsid w:val="009C3528"/>
    <w:rsid w:val="009C403E"/>
    <w:rsid w:val="009C470D"/>
    <w:rsid w:val="009C483E"/>
    <w:rsid w:val="009C4923"/>
    <w:rsid w:val="009C4F4B"/>
    <w:rsid w:val="009C5410"/>
    <w:rsid w:val="009C5798"/>
    <w:rsid w:val="009C5874"/>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ACD"/>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26DA"/>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2970"/>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0BBA"/>
    <w:rsid w:val="00AD1023"/>
    <w:rsid w:val="00AD129F"/>
    <w:rsid w:val="00AD14C0"/>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5D1B"/>
    <w:rsid w:val="00AE71F0"/>
    <w:rsid w:val="00AE72DB"/>
    <w:rsid w:val="00AE7707"/>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368"/>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0F55"/>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5AC"/>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19B"/>
    <w:rsid w:val="00C0342D"/>
    <w:rsid w:val="00C035C2"/>
    <w:rsid w:val="00C040F7"/>
    <w:rsid w:val="00C0443F"/>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173F8"/>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92E"/>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2E63"/>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65B"/>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0D5"/>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C040E"/>
    <w:rsid w:val="00CC05E6"/>
    <w:rsid w:val="00CC111F"/>
    <w:rsid w:val="00CC1E1C"/>
    <w:rsid w:val="00CC265E"/>
    <w:rsid w:val="00CC2A50"/>
    <w:rsid w:val="00CC367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54F"/>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185"/>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BF2"/>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485"/>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549"/>
    <w:rsid w:val="00E50974"/>
    <w:rsid w:val="00E512D9"/>
    <w:rsid w:val="00E517C3"/>
    <w:rsid w:val="00E5219A"/>
    <w:rsid w:val="00E5280F"/>
    <w:rsid w:val="00E52AB2"/>
    <w:rsid w:val="00E52EB2"/>
    <w:rsid w:val="00E5361F"/>
    <w:rsid w:val="00E53B75"/>
    <w:rsid w:val="00E53B88"/>
    <w:rsid w:val="00E5410D"/>
    <w:rsid w:val="00E543D1"/>
    <w:rsid w:val="00E54C6A"/>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679"/>
    <w:rsid w:val="00EC6B56"/>
    <w:rsid w:val="00EC71CE"/>
    <w:rsid w:val="00EC7457"/>
    <w:rsid w:val="00EC7512"/>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56E"/>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53D"/>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37E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14B"/>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7BC"/>
    <w:rsid w:val="00F77F2D"/>
    <w:rsid w:val="00F800BF"/>
    <w:rsid w:val="00F80174"/>
    <w:rsid w:val="00F804BE"/>
    <w:rsid w:val="00F80F50"/>
    <w:rsid w:val="00F817CE"/>
    <w:rsid w:val="00F81DA0"/>
    <w:rsid w:val="00F8241F"/>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3D43"/>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715"/>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4D"/>
    <w:rsid w:val="00FD5D53"/>
    <w:rsid w:val="00FD67EC"/>
    <w:rsid w:val="00FD69B1"/>
    <w:rsid w:val="00FD6E83"/>
    <w:rsid w:val="00FD710F"/>
    <w:rsid w:val="00FD74DB"/>
    <w:rsid w:val="00FD75E6"/>
    <w:rsid w:val="00FD7660"/>
    <w:rsid w:val="00FD7787"/>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716"/>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947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471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55640024">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3EE80373-9B47-4EBE-86D2-A736D6FB3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2021-08-07T02:16:00Z</dcterms:created>
  <dcterms:modified xsi:type="dcterms:W3CDTF">2021-08-07T02:16:00Z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